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1" w:type="dxa"/>
        <w:tblInd w:w="-1" w:type="dxa"/>
        <w:tblLayout w:type="fixed"/>
        <w:tblCellMar>
          <w:left w:w="70" w:type="dxa"/>
          <w:right w:w="70" w:type="dxa"/>
        </w:tblCellMar>
        <w:tblLook w:val="0000" w:firstRow="0" w:lastRow="0" w:firstColumn="0" w:lastColumn="0" w:noHBand="0" w:noVBand="0"/>
      </w:tblPr>
      <w:tblGrid>
        <w:gridCol w:w="1060"/>
        <w:gridCol w:w="428"/>
        <w:gridCol w:w="567"/>
        <w:gridCol w:w="1559"/>
        <w:gridCol w:w="4254"/>
        <w:gridCol w:w="930"/>
        <w:gridCol w:w="1763"/>
      </w:tblGrid>
      <w:tr w:rsidR="009150E6" w:rsidTr="00383ABA">
        <w:tblPrEx>
          <w:tblCellMar>
            <w:top w:w="0" w:type="dxa"/>
            <w:bottom w:w="0" w:type="dxa"/>
          </w:tblCellMar>
        </w:tblPrEx>
        <w:trPr>
          <w:cantSplit/>
        </w:trPr>
        <w:tc>
          <w:tcPr>
            <w:tcW w:w="1488" w:type="dxa"/>
            <w:gridSpan w:val="2"/>
            <w:tcBorders>
              <w:top w:val="single" w:sz="48" w:space="0" w:color="FF00FF"/>
              <w:left w:val="single" w:sz="48" w:space="0" w:color="FF00FF"/>
              <w:right w:val="single" w:sz="6" w:space="0" w:color="auto"/>
            </w:tcBorders>
            <w:shd w:val="clear" w:color="auto" w:fill="FFFFFF"/>
          </w:tcPr>
          <w:p w:rsidR="009150E6" w:rsidRPr="00D42E6E" w:rsidRDefault="009150E6" w:rsidP="00D42E6E">
            <w:pPr>
              <w:spacing w:before="60" w:after="0"/>
              <w:jc w:val="center"/>
              <w:rPr>
                <w:szCs w:val="22"/>
              </w:rPr>
            </w:pPr>
            <w:bookmarkStart w:id="0" w:name="_GoBack"/>
            <w:bookmarkEnd w:id="0"/>
            <w:r w:rsidRPr="00D42E6E">
              <w:rPr>
                <w:b/>
                <w:szCs w:val="22"/>
              </w:rPr>
              <w:t>Firma:</w:t>
            </w:r>
          </w:p>
        </w:tc>
        <w:tc>
          <w:tcPr>
            <w:tcW w:w="7310" w:type="dxa"/>
            <w:gridSpan w:val="4"/>
            <w:tcBorders>
              <w:top w:val="single" w:sz="48" w:space="0" w:color="FF00FF"/>
              <w:left w:val="single" w:sz="6" w:space="0" w:color="auto"/>
              <w:right w:val="single" w:sz="6" w:space="0" w:color="auto"/>
            </w:tcBorders>
          </w:tcPr>
          <w:p w:rsidR="009150E6" w:rsidRDefault="009150E6" w:rsidP="00B04367">
            <w:pPr>
              <w:spacing w:before="60" w:after="40"/>
              <w:jc w:val="center"/>
              <w:rPr>
                <w:b/>
                <w:spacing w:val="60"/>
                <w:sz w:val="26"/>
              </w:rPr>
            </w:pPr>
            <w:r>
              <w:rPr>
                <w:b/>
                <w:spacing w:val="60"/>
                <w:sz w:val="26"/>
              </w:rPr>
              <w:t>MUSTERBETRIEBSANWEISUNG</w:t>
            </w:r>
          </w:p>
          <w:p w:rsidR="009150E6" w:rsidRPr="00D42E6E" w:rsidRDefault="009150E6" w:rsidP="009E6B3F">
            <w:pPr>
              <w:pStyle w:val="Zeichnung"/>
              <w:spacing w:before="0" w:after="40"/>
              <w:rPr>
                <w:b/>
                <w:sz w:val="20"/>
              </w:rPr>
            </w:pPr>
            <w:r w:rsidRPr="00D42E6E">
              <w:rPr>
                <w:b/>
                <w:sz w:val="20"/>
              </w:rPr>
              <w:t>arbeitsbereichsbezogen nach §</w:t>
            </w:r>
            <w:r w:rsidR="00383ABA" w:rsidRPr="00D42E6E">
              <w:rPr>
                <w:b/>
                <w:sz w:val="20"/>
              </w:rPr>
              <w:t xml:space="preserve"> </w:t>
            </w:r>
            <w:r w:rsidRPr="00D42E6E">
              <w:rPr>
                <w:b/>
                <w:sz w:val="20"/>
              </w:rPr>
              <w:t>12 (3) BioStoffV</w:t>
            </w:r>
          </w:p>
          <w:p w:rsidR="009150E6" w:rsidRPr="0088360C" w:rsidRDefault="009E6B3F" w:rsidP="0088360C">
            <w:pPr>
              <w:spacing w:before="0" w:after="0"/>
              <w:jc w:val="center"/>
              <w:rPr>
                <w:b/>
                <w:sz w:val="18"/>
                <w:szCs w:val="18"/>
              </w:rPr>
            </w:pPr>
            <w:r w:rsidRPr="00D42E6E">
              <w:rPr>
                <w:b/>
                <w:sz w:val="20"/>
              </w:rPr>
              <w:t>f</w:t>
            </w:r>
            <w:r w:rsidR="009150E6" w:rsidRPr="00D42E6E">
              <w:rPr>
                <w:b/>
                <w:sz w:val="20"/>
              </w:rPr>
              <w:t>ür Tätigkeiten in medizinisch</w:t>
            </w:r>
            <w:r w:rsidR="00241B31" w:rsidRPr="00D42E6E">
              <w:rPr>
                <w:b/>
                <w:sz w:val="20"/>
              </w:rPr>
              <w:t>-</w:t>
            </w:r>
            <w:r w:rsidR="009150E6" w:rsidRPr="00D42E6E">
              <w:rPr>
                <w:b/>
                <w:sz w:val="20"/>
              </w:rPr>
              <w:t>diagnostischen Laboratorien</w:t>
            </w:r>
          </w:p>
        </w:tc>
        <w:tc>
          <w:tcPr>
            <w:tcW w:w="1763" w:type="dxa"/>
            <w:tcBorders>
              <w:top w:val="single" w:sz="48" w:space="0" w:color="FF00FF"/>
              <w:left w:val="single" w:sz="6" w:space="0" w:color="auto"/>
              <w:right w:val="single" w:sz="48" w:space="0" w:color="FF00FF"/>
            </w:tcBorders>
          </w:tcPr>
          <w:p w:rsidR="009150E6" w:rsidRPr="00D42E6E" w:rsidRDefault="009150E6" w:rsidP="00D42E6E">
            <w:pPr>
              <w:spacing w:before="60" w:after="240"/>
              <w:rPr>
                <w:szCs w:val="22"/>
              </w:rPr>
            </w:pPr>
            <w:r w:rsidRPr="00D42E6E">
              <w:rPr>
                <w:b/>
                <w:szCs w:val="22"/>
              </w:rPr>
              <w:t>Stand:</w:t>
            </w:r>
          </w:p>
          <w:p w:rsidR="009150E6" w:rsidRPr="00D42E6E" w:rsidRDefault="009150E6">
            <w:pPr>
              <w:spacing w:before="0" w:after="120"/>
              <w:rPr>
                <w:b/>
                <w:szCs w:val="22"/>
              </w:rPr>
            </w:pPr>
            <w:r w:rsidRPr="00D42E6E">
              <w:rPr>
                <w:b/>
                <w:szCs w:val="22"/>
              </w:rPr>
              <w:t>Unterschrift:</w:t>
            </w:r>
          </w:p>
        </w:tc>
      </w:tr>
      <w:tr w:rsidR="009150E6" w:rsidTr="00383ABA">
        <w:tblPrEx>
          <w:tblCellMar>
            <w:top w:w="0" w:type="dxa"/>
            <w:bottom w:w="0" w:type="dxa"/>
          </w:tblCellMar>
        </w:tblPrEx>
        <w:trPr>
          <w:cantSplit/>
        </w:trPr>
        <w:tc>
          <w:tcPr>
            <w:tcW w:w="10561" w:type="dxa"/>
            <w:gridSpan w:val="7"/>
            <w:tcBorders>
              <w:left w:val="single" w:sz="48" w:space="0" w:color="FF00FF"/>
              <w:right w:val="single" w:sz="48" w:space="0" w:color="FF00FF"/>
            </w:tcBorders>
            <w:shd w:val="clear" w:color="auto" w:fill="FF00FF"/>
          </w:tcPr>
          <w:p w:rsidR="009150E6" w:rsidRDefault="009150E6">
            <w:pPr>
              <w:pStyle w:val="TitelOhne"/>
              <w:shd w:val="clear" w:color="auto" w:fill="FF00FF"/>
              <w:rPr>
                <w:sz w:val="24"/>
              </w:rPr>
            </w:pPr>
            <w:r>
              <w:rPr>
                <w:sz w:val="24"/>
              </w:rPr>
              <w:t>GEFAHRENBEZEICHNUNG</w:t>
            </w:r>
          </w:p>
        </w:tc>
      </w:tr>
      <w:tr w:rsidR="009150E6" w:rsidTr="00383ABA">
        <w:tblPrEx>
          <w:tblCellMar>
            <w:top w:w="0" w:type="dxa"/>
            <w:bottom w:w="0" w:type="dxa"/>
          </w:tblCellMar>
        </w:tblPrEx>
        <w:trPr>
          <w:cantSplit/>
        </w:trPr>
        <w:tc>
          <w:tcPr>
            <w:tcW w:w="10561" w:type="dxa"/>
            <w:gridSpan w:val="7"/>
            <w:tcBorders>
              <w:left w:val="single" w:sz="48" w:space="0" w:color="FF00FF"/>
              <w:right w:val="single" w:sz="48" w:space="0" w:color="FF00FF"/>
            </w:tcBorders>
          </w:tcPr>
          <w:p w:rsidR="009150E6" w:rsidRDefault="001B3822" w:rsidP="00D42E6E">
            <w:pPr>
              <w:pStyle w:val="Titel"/>
              <w:spacing w:after="0"/>
              <w:rPr>
                <w:sz w:val="20"/>
              </w:rPr>
            </w:pPr>
            <w:bookmarkStart w:id="1" w:name="StoffBezeichnung"/>
            <w:bookmarkEnd w:id="1"/>
            <w:r>
              <w:rPr>
                <w:sz w:val="20"/>
              </w:rPr>
              <w:t>Medizinisches Untersuchungsgut</w:t>
            </w:r>
          </w:p>
          <w:p w:rsidR="009150E6" w:rsidRPr="00DF1FD5" w:rsidRDefault="001B3822" w:rsidP="0088360C">
            <w:pPr>
              <w:pStyle w:val="Titel"/>
              <w:ind w:left="57"/>
              <w:jc w:val="left"/>
              <w:rPr>
                <w:b w:val="0"/>
                <w:sz w:val="18"/>
                <w:szCs w:val="18"/>
              </w:rPr>
            </w:pPr>
            <w:r>
              <w:rPr>
                <w:b w:val="0"/>
                <w:sz w:val="18"/>
                <w:szCs w:val="18"/>
              </w:rPr>
              <w:t>M</w:t>
            </w:r>
            <w:r w:rsidR="009150E6" w:rsidRPr="00DF1FD5">
              <w:rPr>
                <w:b w:val="0"/>
                <w:sz w:val="18"/>
                <w:szCs w:val="18"/>
              </w:rPr>
              <w:t>edizinisches Untersuchungsgut</w:t>
            </w:r>
            <w:r w:rsidR="00543212">
              <w:rPr>
                <w:b w:val="0"/>
                <w:sz w:val="18"/>
                <w:szCs w:val="18"/>
              </w:rPr>
              <w:t>,</w:t>
            </w:r>
            <w:r w:rsidR="009150E6" w:rsidRPr="00DF1FD5">
              <w:rPr>
                <w:b w:val="0"/>
                <w:sz w:val="18"/>
                <w:szCs w:val="18"/>
              </w:rPr>
              <w:t xml:space="preserve"> wie Blut, Serum, Körpergewebe, Ausscheidungen</w:t>
            </w:r>
            <w:r w:rsidR="00543212">
              <w:rPr>
                <w:b w:val="0"/>
                <w:sz w:val="18"/>
                <w:szCs w:val="18"/>
              </w:rPr>
              <w:t>,</w:t>
            </w:r>
            <w:r w:rsidR="009150E6" w:rsidRPr="00DF1FD5">
              <w:rPr>
                <w:b w:val="0"/>
                <w:sz w:val="18"/>
                <w:szCs w:val="18"/>
              </w:rPr>
              <w:t xml:space="preserve"> oder primäre </w:t>
            </w:r>
            <w:r w:rsidR="00543212">
              <w:rPr>
                <w:b w:val="0"/>
                <w:sz w:val="18"/>
                <w:szCs w:val="18"/>
              </w:rPr>
              <w:t xml:space="preserve">humane </w:t>
            </w:r>
            <w:r w:rsidR="009150E6" w:rsidRPr="00DF1FD5">
              <w:rPr>
                <w:b w:val="0"/>
                <w:sz w:val="18"/>
                <w:szCs w:val="18"/>
              </w:rPr>
              <w:t xml:space="preserve">Zellkulturen können </w:t>
            </w:r>
            <w:r w:rsidR="00543212">
              <w:rPr>
                <w:b w:val="0"/>
                <w:sz w:val="18"/>
                <w:szCs w:val="18"/>
              </w:rPr>
              <w:t xml:space="preserve">humanpathogene </w:t>
            </w:r>
            <w:r w:rsidR="009150E6" w:rsidRPr="00DF1FD5">
              <w:rPr>
                <w:b w:val="0"/>
                <w:sz w:val="18"/>
                <w:szCs w:val="18"/>
              </w:rPr>
              <w:t xml:space="preserve">Krankheitserreger enthalten und werden im Rahmen dieser Betriebsanweisung ausnahmslos als potentiell infektiös </w:t>
            </w:r>
            <w:r>
              <w:rPr>
                <w:b w:val="0"/>
                <w:sz w:val="18"/>
                <w:szCs w:val="18"/>
              </w:rPr>
              <w:t xml:space="preserve"> angesehen</w:t>
            </w:r>
            <w:r w:rsidR="009150E6" w:rsidRPr="00DF1FD5">
              <w:rPr>
                <w:b w:val="0"/>
                <w:sz w:val="18"/>
                <w:szCs w:val="18"/>
              </w:rPr>
              <w:t xml:space="preserve">. Entsprechend der Gefährdung erfolgen </w:t>
            </w:r>
            <w:r>
              <w:rPr>
                <w:b w:val="0"/>
                <w:sz w:val="18"/>
                <w:szCs w:val="18"/>
              </w:rPr>
              <w:t>Sicherheits</w:t>
            </w:r>
            <w:r w:rsidR="009150E6" w:rsidRPr="00DF1FD5">
              <w:rPr>
                <w:b w:val="0"/>
                <w:sz w:val="18"/>
                <w:szCs w:val="18"/>
              </w:rPr>
              <w:t>maßnahmen</w:t>
            </w:r>
            <w:r w:rsidR="00DF1FD5">
              <w:rPr>
                <w:b w:val="0"/>
                <w:sz w:val="18"/>
                <w:szCs w:val="18"/>
              </w:rPr>
              <w:t xml:space="preserve"> </w:t>
            </w:r>
            <w:r w:rsidR="009150E6" w:rsidRPr="00DF1FD5">
              <w:rPr>
                <w:b w:val="0"/>
                <w:sz w:val="18"/>
                <w:szCs w:val="18"/>
              </w:rPr>
              <w:t xml:space="preserve">im Labor mindestens nach </w:t>
            </w:r>
            <w:r w:rsidR="009150E6" w:rsidRPr="00DF1FD5">
              <w:rPr>
                <w:sz w:val="18"/>
                <w:szCs w:val="18"/>
              </w:rPr>
              <w:t>Schutzstufe 2.</w:t>
            </w:r>
          </w:p>
        </w:tc>
      </w:tr>
      <w:tr w:rsidR="009150E6" w:rsidTr="00383ABA">
        <w:tblPrEx>
          <w:tblCellMar>
            <w:top w:w="0" w:type="dxa"/>
            <w:bottom w:w="0" w:type="dxa"/>
          </w:tblCellMar>
        </w:tblPrEx>
        <w:trPr>
          <w:cantSplit/>
        </w:trPr>
        <w:tc>
          <w:tcPr>
            <w:tcW w:w="10561" w:type="dxa"/>
            <w:gridSpan w:val="7"/>
            <w:tcBorders>
              <w:left w:val="single" w:sz="48" w:space="0" w:color="FF00FF"/>
              <w:right w:val="single" w:sz="48" w:space="0" w:color="FF00FF"/>
            </w:tcBorders>
            <w:shd w:val="clear" w:color="auto" w:fill="FF00FF"/>
          </w:tcPr>
          <w:p w:rsidR="009150E6" w:rsidRDefault="009150E6">
            <w:pPr>
              <w:pStyle w:val="TitelOhne"/>
              <w:shd w:val="clear" w:color="auto" w:fill="FF00FF"/>
            </w:pPr>
            <w:r>
              <w:rPr>
                <w:sz w:val="24"/>
              </w:rPr>
              <w:t>GEFAHREN FÜR MENSCH UND UMWELT</w:t>
            </w:r>
          </w:p>
        </w:tc>
      </w:tr>
      <w:tr w:rsidR="009150E6" w:rsidTr="00383ABA">
        <w:tblPrEx>
          <w:tblCellMar>
            <w:top w:w="0" w:type="dxa"/>
            <w:left w:w="71" w:type="dxa"/>
            <w:bottom w:w="0" w:type="dxa"/>
            <w:right w:w="71" w:type="dxa"/>
          </w:tblCellMar>
        </w:tblPrEx>
        <w:trPr>
          <w:cantSplit/>
        </w:trPr>
        <w:tc>
          <w:tcPr>
            <w:tcW w:w="1060" w:type="dxa"/>
            <w:tcBorders>
              <w:left w:val="single" w:sz="48" w:space="0" w:color="FF00FF"/>
              <w:right w:val="single" w:sz="6" w:space="0" w:color="000000"/>
            </w:tcBorders>
          </w:tcPr>
          <w:p w:rsidR="009150E6" w:rsidRDefault="00D65A7B">
            <w:pPr>
              <w:pStyle w:val="Zeichnung"/>
            </w:pPr>
            <w:r>
              <w:rPr>
                <w:noProof/>
                <w:sz w:val="20"/>
              </w:rPr>
              <w:drawing>
                <wp:inline distT="0" distB="0" distL="0" distR="0">
                  <wp:extent cx="626745" cy="728345"/>
                  <wp:effectExtent l="0" t="0" r="190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6745" cy="728345"/>
                          </a:xfrm>
                          <a:prstGeom prst="rect">
                            <a:avLst/>
                          </a:prstGeom>
                          <a:noFill/>
                          <a:ln>
                            <a:noFill/>
                          </a:ln>
                        </pic:spPr>
                      </pic:pic>
                    </a:graphicData>
                  </a:graphic>
                </wp:inline>
              </w:drawing>
            </w:r>
          </w:p>
        </w:tc>
        <w:tc>
          <w:tcPr>
            <w:tcW w:w="9501" w:type="dxa"/>
            <w:gridSpan w:val="6"/>
            <w:tcBorders>
              <w:left w:val="single" w:sz="6" w:space="0" w:color="000000"/>
              <w:right w:val="single" w:sz="48" w:space="0" w:color="FF00FF"/>
            </w:tcBorders>
          </w:tcPr>
          <w:p w:rsidR="009150E6" w:rsidRDefault="009150E6" w:rsidP="006C7B99">
            <w:pPr>
              <w:pStyle w:val="BA20-Feld0"/>
              <w:spacing w:before="60" w:after="20"/>
              <w:jc w:val="left"/>
              <w:rPr>
                <w:sz w:val="16"/>
              </w:rPr>
            </w:pPr>
            <w:r>
              <w:rPr>
                <w:sz w:val="16"/>
              </w:rPr>
              <w:t xml:space="preserve">In </w:t>
            </w:r>
            <w:r w:rsidR="001B3822">
              <w:rPr>
                <w:sz w:val="16"/>
              </w:rPr>
              <w:t>medizinischem Untersuchungsgut</w:t>
            </w:r>
            <w:r>
              <w:rPr>
                <w:sz w:val="16"/>
              </w:rPr>
              <w:t xml:space="preserve"> potentiell enthaltene humanpathogene Mikroorganismen (Viren, Bakterien, Pilze, Endoparasiten) können  Infektionen und Erkra</w:t>
            </w:r>
            <w:r>
              <w:rPr>
                <w:sz w:val="16"/>
              </w:rPr>
              <w:t>n</w:t>
            </w:r>
            <w:r>
              <w:rPr>
                <w:sz w:val="16"/>
              </w:rPr>
              <w:t>kungen verursachen.</w:t>
            </w:r>
          </w:p>
          <w:p w:rsidR="009150E6" w:rsidRDefault="009150E6" w:rsidP="003F1BC4">
            <w:pPr>
              <w:pStyle w:val="BA20-Feld0"/>
              <w:spacing w:after="20"/>
              <w:jc w:val="left"/>
              <w:rPr>
                <w:sz w:val="16"/>
              </w:rPr>
            </w:pPr>
            <w:r>
              <w:rPr>
                <w:sz w:val="16"/>
              </w:rPr>
              <w:t xml:space="preserve">Die Aufnahme in den Körper kann durch </w:t>
            </w:r>
            <w:r>
              <w:rPr>
                <w:b/>
                <w:sz w:val="16"/>
              </w:rPr>
              <w:t>Inhalation</w:t>
            </w:r>
            <w:r>
              <w:rPr>
                <w:sz w:val="16"/>
              </w:rPr>
              <w:t xml:space="preserve"> von Aerosolen</w:t>
            </w:r>
            <w:r>
              <w:rPr>
                <w:b/>
                <w:sz w:val="16"/>
              </w:rPr>
              <w:t>, Verschlucken</w:t>
            </w:r>
            <w:r>
              <w:rPr>
                <w:sz w:val="16"/>
              </w:rPr>
              <w:t xml:space="preserve"> erregerhaltigen Untersuchungsgutes, </w:t>
            </w:r>
            <w:r>
              <w:rPr>
                <w:b/>
                <w:sz w:val="16"/>
              </w:rPr>
              <w:t>Eindri</w:t>
            </w:r>
            <w:r>
              <w:rPr>
                <w:b/>
                <w:sz w:val="16"/>
              </w:rPr>
              <w:t>n</w:t>
            </w:r>
            <w:r>
              <w:rPr>
                <w:b/>
                <w:sz w:val="16"/>
              </w:rPr>
              <w:t>gen</w:t>
            </w:r>
            <w:r>
              <w:rPr>
                <w:sz w:val="16"/>
              </w:rPr>
              <w:t xml:space="preserve"> von Erregern in bestehende oder verletzungsbedingte Hautschäden oder beim </w:t>
            </w:r>
            <w:r>
              <w:rPr>
                <w:b/>
                <w:sz w:val="16"/>
              </w:rPr>
              <w:t>Verspritzen</w:t>
            </w:r>
            <w:r>
              <w:rPr>
                <w:sz w:val="16"/>
              </w:rPr>
              <w:t xml:space="preserve"> der Probe über das Auge und die Schlei</w:t>
            </w:r>
            <w:r>
              <w:rPr>
                <w:sz w:val="16"/>
              </w:rPr>
              <w:t>m</w:t>
            </w:r>
            <w:r>
              <w:rPr>
                <w:sz w:val="16"/>
              </w:rPr>
              <w:t>häute erfolgen.</w:t>
            </w:r>
          </w:p>
          <w:p w:rsidR="009150E6" w:rsidRDefault="009150E6" w:rsidP="00AF28B5">
            <w:pPr>
              <w:pStyle w:val="BA20-Feld0"/>
              <w:ind w:right="213"/>
              <w:jc w:val="left"/>
              <w:rPr>
                <w:sz w:val="16"/>
              </w:rPr>
            </w:pPr>
            <w:r>
              <w:rPr>
                <w:sz w:val="16"/>
              </w:rPr>
              <w:t>Bei vielen Labortätigkeiten (z.</w:t>
            </w:r>
            <w:r w:rsidR="00AF28B5">
              <w:rPr>
                <w:sz w:val="16"/>
              </w:rPr>
              <w:t xml:space="preserve"> </w:t>
            </w:r>
            <w:r>
              <w:rPr>
                <w:sz w:val="16"/>
              </w:rPr>
              <w:t>B. Umfüllen, Ausplattieren, Anfertigen von Verdünnungsreihen, Pipettieren, Vortexen) können Aer</w:t>
            </w:r>
            <w:r>
              <w:rPr>
                <w:sz w:val="16"/>
              </w:rPr>
              <w:t>o</w:t>
            </w:r>
            <w:r>
              <w:rPr>
                <w:sz w:val="16"/>
              </w:rPr>
              <w:t>sole (unsichtbare, feinste schwebende Tröpfchen) entstehen. Infektionsgefahr bestehen bei Inhalation dieser Aerosole oder Kontakt mit deren Niederschlag auf Oberfl</w:t>
            </w:r>
            <w:r>
              <w:rPr>
                <w:sz w:val="16"/>
              </w:rPr>
              <w:t>ä</w:t>
            </w:r>
            <w:r>
              <w:rPr>
                <w:sz w:val="16"/>
              </w:rPr>
              <w:t>chen.</w:t>
            </w:r>
          </w:p>
        </w:tc>
      </w:tr>
      <w:tr w:rsidR="009150E6" w:rsidTr="00383ABA">
        <w:tblPrEx>
          <w:tblCellMar>
            <w:top w:w="0" w:type="dxa"/>
            <w:bottom w:w="0" w:type="dxa"/>
          </w:tblCellMar>
        </w:tblPrEx>
        <w:trPr>
          <w:cantSplit/>
        </w:trPr>
        <w:tc>
          <w:tcPr>
            <w:tcW w:w="10561" w:type="dxa"/>
            <w:gridSpan w:val="7"/>
            <w:tcBorders>
              <w:left w:val="single" w:sz="48" w:space="0" w:color="FF00FF"/>
              <w:right w:val="single" w:sz="48" w:space="0" w:color="FF00FF"/>
            </w:tcBorders>
          </w:tcPr>
          <w:p w:rsidR="009150E6" w:rsidRPr="008F1673" w:rsidRDefault="009150E6">
            <w:pPr>
              <w:pStyle w:val="TitelOhne"/>
              <w:shd w:val="clear" w:color="auto" w:fill="FF00FF"/>
              <w:rPr>
                <w:sz w:val="24"/>
                <w:szCs w:val="24"/>
              </w:rPr>
            </w:pPr>
            <w:r w:rsidRPr="008F1673">
              <w:rPr>
                <w:sz w:val="24"/>
                <w:szCs w:val="24"/>
              </w:rPr>
              <w:t>SCHUTZMASSNAHMEN UND VERHALTENSREGELN</w:t>
            </w:r>
          </w:p>
        </w:tc>
      </w:tr>
      <w:tr w:rsidR="009150E6" w:rsidTr="00383ABA">
        <w:tblPrEx>
          <w:tblCellMar>
            <w:top w:w="0" w:type="dxa"/>
            <w:left w:w="71" w:type="dxa"/>
            <w:bottom w:w="0" w:type="dxa"/>
            <w:right w:w="71" w:type="dxa"/>
          </w:tblCellMar>
        </w:tblPrEx>
        <w:trPr>
          <w:cantSplit/>
        </w:trPr>
        <w:tc>
          <w:tcPr>
            <w:tcW w:w="1060" w:type="dxa"/>
            <w:tcBorders>
              <w:left w:val="single" w:sz="48" w:space="0" w:color="FF00FF"/>
              <w:right w:val="single" w:sz="6" w:space="0" w:color="000000"/>
            </w:tcBorders>
          </w:tcPr>
          <w:p w:rsidR="00B04367" w:rsidRDefault="00D65A7B">
            <w:pPr>
              <w:pStyle w:val="Zeichnung"/>
            </w:pPr>
            <w:r>
              <w:rPr>
                <w:noProof/>
              </w:rPr>
              <w:drawing>
                <wp:inline distT="0" distB="0" distL="0" distR="0">
                  <wp:extent cx="588645" cy="588645"/>
                  <wp:effectExtent l="0" t="0" r="1905" b="190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bookmarkStart w:id="2" w:name="_MON_1009358740"/>
          <w:bookmarkEnd w:id="2"/>
          <w:p w:rsidR="00B04367" w:rsidRDefault="009150E6">
            <w:pPr>
              <w:pStyle w:val="Zeichnung"/>
            </w:pPr>
            <w:r>
              <w:object w:dxaOrig="913" w:dyaOrig="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65pt;height:45.65pt" o:ole="" fillcolor="window">
                  <v:imagedata r:id="rId8" o:title=""/>
                </v:shape>
                <o:OLEObject Type="Embed" ProgID="Word.Picture.8" ShapeID="_x0000_i1027" DrawAspect="Content" ObjectID="_1624779421" r:id="rId9"/>
              </w:object>
            </w:r>
          </w:p>
          <w:p w:rsidR="009150E6" w:rsidRDefault="00D65A7B">
            <w:pPr>
              <w:pStyle w:val="Zeichnung"/>
            </w:pPr>
            <w:r>
              <w:rPr>
                <w:noProof/>
              </w:rPr>
              <w:drawing>
                <wp:inline distT="0" distB="0" distL="0" distR="0">
                  <wp:extent cx="588645" cy="588645"/>
                  <wp:effectExtent l="0" t="0" r="1905" b="190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p w:rsidR="009150E6" w:rsidRDefault="00D65A7B">
            <w:pPr>
              <w:pStyle w:val="Zeichnung"/>
            </w:pPr>
            <w:r>
              <w:rPr>
                <w:noProof/>
              </w:rPr>
              <w:drawing>
                <wp:inline distT="0" distB="0" distL="0" distR="0">
                  <wp:extent cx="588645" cy="588645"/>
                  <wp:effectExtent l="0" t="0" r="1905" b="190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tc>
        <w:tc>
          <w:tcPr>
            <w:tcW w:w="9501" w:type="dxa"/>
            <w:gridSpan w:val="6"/>
            <w:tcBorders>
              <w:left w:val="single" w:sz="6" w:space="0" w:color="000000"/>
              <w:right w:val="single" w:sz="48" w:space="0" w:color="FF00FF"/>
            </w:tcBorders>
          </w:tcPr>
          <w:p w:rsidR="009150E6" w:rsidRDefault="009150E6" w:rsidP="006C7B99">
            <w:pPr>
              <w:pStyle w:val="BA20-Feld0"/>
              <w:spacing w:before="60" w:after="40"/>
              <w:jc w:val="left"/>
              <w:rPr>
                <w:sz w:val="16"/>
              </w:rPr>
            </w:pPr>
            <w:r>
              <w:rPr>
                <w:sz w:val="16"/>
              </w:rPr>
              <w:t>Im Labor ist ein geschlossener Laborkittel, festes und geschlossenes Schuhwerk sowie Schutzbrille zu tragen. Die Schutzkleidung (auch Einmalschutzhandschuhe) darf nur in den Arbeitsräumen getragen werden und ist beim Verlassen des Labors abzulegen.</w:t>
            </w:r>
            <w:r w:rsidR="003F1BC4">
              <w:rPr>
                <w:sz w:val="16"/>
              </w:rPr>
              <w:t xml:space="preserve"> </w:t>
            </w:r>
            <w:r>
              <w:rPr>
                <w:sz w:val="16"/>
              </w:rPr>
              <w:t>Schutzkleidung ist für die desinfizierende Reinigung in eigens dafür vorgesehenen und geken</w:t>
            </w:r>
            <w:r>
              <w:rPr>
                <w:sz w:val="16"/>
              </w:rPr>
              <w:t>n</w:t>
            </w:r>
            <w:r>
              <w:rPr>
                <w:sz w:val="16"/>
              </w:rPr>
              <w:t>zeichneten Säcken zu sammeln.</w:t>
            </w:r>
          </w:p>
          <w:p w:rsidR="009150E6" w:rsidRDefault="009150E6" w:rsidP="003F1BC4">
            <w:pPr>
              <w:pStyle w:val="BA20-Feld0"/>
              <w:spacing w:after="20"/>
              <w:jc w:val="left"/>
              <w:rPr>
                <w:sz w:val="16"/>
              </w:rPr>
            </w:pPr>
            <w:r>
              <w:rPr>
                <w:sz w:val="16"/>
              </w:rPr>
              <w:t>Schutz- und Straßenkleidung sind getrennt aufzubewahren (Trennspinde benutzen).</w:t>
            </w:r>
          </w:p>
          <w:p w:rsidR="009150E6" w:rsidRDefault="009150E6" w:rsidP="003F1BC4">
            <w:pPr>
              <w:pStyle w:val="BA20-Feld0"/>
              <w:spacing w:after="20"/>
              <w:jc w:val="left"/>
              <w:rPr>
                <w:sz w:val="16"/>
              </w:rPr>
            </w:pPr>
            <w:r>
              <w:rPr>
                <w:sz w:val="16"/>
              </w:rPr>
              <w:t>Während der direkten Tätigkeiten mit menschlichem Material müssen Einmalschutzhandschuhe (Latex oder Nitril) getragen we</w:t>
            </w:r>
            <w:r>
              <w:rPr>
                <w:sz w:val="16"/>
              </w:rPr>
              <w:t>r</w:t>
            </w:r>
            <w:r>
              <w:rPr>
                <w:sz w:val="16"/>
              </w:rPr>
              <w:t>den. Schmierkontaminationen (z.</w:t>
            </w:r>
            <w:r w:rsidR="00AF28B5">
              <w:rPr>
                <w:sz w:val="16"/>
              </w:rPr>
              <w:t xml:space="preserve"> </w:t>
            </w:r>
            <w:r>
              <w:rPr>
                <w:sz w:val="16"/>
              </w:rPr>
              <w:t>B. an Telefonhörern, Türklinken, Armaturen, Schreibgeräten und Tastaturen) sind zu ve</w:t>
            </w:r>
            <w:r>
              <w:rPr>
                <w:sz w:val="16"/>
              </w:rPr>
              <w:t>r</w:t>
            </w:r>
            <w:r>
              <w:rPr>
                <w:sz w:val="16"/>
              </w:rPr>
              <w:t>meiden.</w:t>
            </w:r>
          </w:p>
          <w:p w:rsidR="009150E6" w:rsidRDefault="009150E6" w:rsidP="003F1BC4">
            <w:pPr>
              <w:pStyle w:val="BA20-Feld0"/>
              <w:spacing w:after="20"/>
              <w:jc w:val="left"/>
              <w:rPr>
                <w:sz w:val="16"/>
              </w:rPr>
            </w:pPr>
            <w:r>
              <w:rPr>
                <w:sz w:val="16"/>
              </w:rPr>
              <w:t>Mundpipettieren ist verboten. Zum Pipettieren ausschließlich Pipettierhilfe benutzen.</w:t>
            </w:r>
          </w:p>
          <w:p w:rsidR="009150E6" w:rsidRDefault="009150E6" w:rsidP="003F1BC4">
            <w:pPr>
              <w:pStyle w:val="BA20-Feld0"/>
              <w:spacing w:after="20"/>
              <w:jc w:val="left"/>
              <w:rPr>
                <w:sz w:val="16"/>
              </w:rPr>
            </w:pPr>
            <w:r>
              <w:rPr>
                <w:sz w:val="16"/>
              </w:rPr>
              <w:t>Benutzte Kanülen direkt in die Kanülenabfallbehälter geben, niemals in die Schutzhüllen zurückstecken.</w:t>
            </w:r>
          </w:p>
          <w:p w:rsidR="009150E6" w:rsidRDefault="009150E6" w:rsidP="003F1BC4">
            <w:pPr>
              <w:pStyle w:val="BA20-Feld0"/>
              <w:spacing w:after="20"/>
              <w:jc w:val="left"/>
              <w:rPr>
                <w:sz w:val="16"/>
              </w:rPr>
            </w:pPr>
            <w:r>
              <w:rPr>
                <w:sz w:val="16"/>
              </w:rPr>
              <w:t xml:space="preserve">Bei Gefahr von Aerosolbildung Arbeiten unter einer </w:t>
            </w:r>
            <w:r w:rsidR="001B3822">
              <w:rPr>
                <w:sz w:val="16"/>
              </w:rPr>
              <w:t xml:space="preserve">mikrobiologischen </w:t>
            </w:r>
            <w:r>
              <w:rPr>
                <w:sz w:val="16"/>
              </w:rPr>
              <w:t>Sicherheitswerkbank durchführen. Fenster und Türen sind während der</w:t>
            </w:r>
            <w:r w:rsidR="003F1BC4">
              <w:rPr>
                <w:sz w:val="16"/>
              </w:rPr>
              <w:t xml:space="preserve"> </w:t>
            </w:r>
            <w:r>
              <w:rPr>
                <w:sz w:val="16"/>
              </w:rPr>
              <w:t>Arbe</w:t>
            </w:r>
            <w:r>
              <w:rPr>
                <w:sz w:val="16"/>
              </w:rPr>
              <w:t>i</w:t>
            </w:r>
            <w:r>
              <w:rPr>
                <w:sz w:val="16"/>
              </w:rPr>
              <w:t>ten geschlossen zu halten.</w:t>
            </w:r>
          </w:p>
          <w:p w:rsidR="009150E6" w:rsidRDefault="009150E6" w:rsidP="003F1BC4">
            <w:pPr>
              <w:pStyle w:val="BA20-Feld0"/>
              <w:spacing w:after="20"/>
              <w:jc w:val="left"/>
              <w:rPr>
                <w:sz w:val="16"/>
              </w:rPr>
            </w:pPr>
            <w:r>
              <w:rPr>
                <w:sz w:val="16"/>
              </w:rPr>
              <w:t>Zentrifugen sind nur mit geschlossenen Rotoren oder dicht schließenden Einsätzen (Hermetikbecher) zu betreiben.</w:t>
            </w:r>
          </w:p>
          <w:p w:rsidR="009150E6" w:rsidRDefault="009150E6" w:rsidP="003F1BC4">
            <w:pPr>
              <w:pStyle w:val="BA20-Feld0"/>
              <w:spacing w:after="20"/>
              <w:jc w:val="left"/>
              <w:rPr>
                <w:sz w:val="16"/>
              </w:rPr>
            </w:pPr>
            <w:r>
              <w:rPr>
                <w:sz w:val="16"/>
              </w:rPr>
              <w:t>Der innerbetriebliche Transport muss in flüssigkeitsdichten, bruchsicheren und von außen desinfizierten Gefäßen erfo</w:t>
            </w:r>
            <w:r>
              <w:rPr>
                <w:sz w:val="16"/>
              </w:rPr>
              <w:t>l</w:t>
            </w:r>
            <w:r>
              <w:rPr>
                <w:sz w:val="16"/>
              </w:rPr>
              <w:t>gen.</w:t>
            </w:r>
          </w:p>
          <w:p w:rsidR="009150E6" w:rsidRDefault="009150E6" w:rsidP="003F1BC4">
            <w:pPr>
              <w:pStyle w:val="BA20-Feld0"/>
              <w:spacing w:after="20"/>
              <w:jc w:val="left"/>
              <w:rPr>
                <w:sz w:val="16"/>
              </w:rPr>
            </w:pPr>
            <w:r>
              <w:rPr>
                <w:sz w:val="16"/>
              </w:rPr>
              <w:t>Die Arbeitsplätze sind sauber und aufgeräumt zu halten; Skalpelle, Kanülen usw. dürfen, wegen der Verletzungsgefahr nicht offen herumliegen.</w:t>
            </w:r>
          </w:p>
          <w:p w:rsidR="009150E6" w:rsidRDefault="009150E6" w:rsidP="003F1BC4">
            <w:pPr>
              <w:pStyle w:val="BA20-Feld0"/>
              <w:spacing w:after="20"/>
              <w:jc w:val="left"/>
              <w:rPr>
                <w:sz w:val="16"/>
              </w:rPr>
            </w:pPr>
            <w:r>
              <w:rPr>
                <w:sz w:val="16"/>
              </w:rPr>
              <w:t>Alle Arbeitsflächen sind nach Beendigung der Tätigkeiten nach Hygieneplan zu desinfizieren.</w:t>
            </w:r>
          </w:p>
          <w:p w:rsidR="009150E6" w:rsidRDefault="009150E6" w:rsidP="003F1BC4">
            <w:pPr>
              <w:pStyle w:val="BA20-Feld0"/>
              <w:spacing w:after="20"/>
              <w:jc w:val="left"/>
              <w:rPr>
                <w:sz w:val="16"/>
              </w:rPr>
            </w:pPr>
            <w:r>
              <w:rPr>
                <w:sz w:val="16"/>
              </w:rPr>
              <w:t>Kontaminierte Arbeitsgeräte müssen vor einer Reinigung autoklaviert oder desinf</w:t>
            </w:r>
            <w:r>
              <w:rPr>
                <w:sz w:val="16"/>
              </w:rPr>
              <w:t>i</w:t>
            </w:r>
            <w:r>
              <w:rPr>
                <w:sz w:val="16"/>
              </w:rPr>
              <w:t>ziert werden.</w:t>
            </w:r>
          </w:p>
          <w:p w:rsidR="009150E6" w:rsidRDefault="009150E6" w:rsidP="003F1BC4">
            <w:pPr>
              <w:pStyle w:val="BA20-Feld0"/>
              <w:spacing w:after="20"/>
              <w:jc w:val="left"/>
              <w:rPr>
                <w:sz w:val="16"/>
              </w:rPr>
            </w:pPr>
            <w:r>
              <w:rPr>
                <w:sz w:val="16"/>
              </w:rPr>
              <w:t xml:space="preserve">Im Labor nicht </w:t>
            </w:r>
            <w:r w:rsidR="003F1BC4">
              <w:rPr>
                <w:sz w:val="16"/>
              </w:rPr>
              <w:t>e</w:t>
            </w:r>
            <w:r>
              <w:rPr>
                <w:sz w:val="16"/>
              </w:rPr>
              <w:t xml:space="preserve">ssen, </w:t>
            </w:r>
            <w:r w:rsidR="003F1BC4">
              <w:rPr>
                <w:sz w:val="16"/>
              </w:rPr>
              <w:t>r</w:t>
            </w:r>
            <w:r>
              <w:rPr>
                <w:sz w:val="16"/>
              </w:rPr>
              <w:t xml:space="preserve">auchen, </w:t>
            </w:r>
            <w:r w:rsidR="003F1BC4">
              <w:rPr>
                <w:sz w:val="16"/>
              </w:rPr>
              <w:t>t</w:t>
            </w:r>
            <w:r>
              <w:rPr>
                <w:sz w:val="16"/>
              </w:rPr>
              <w:t>rinken, Kaugummi kauen oder Kosmetika auftragen.</w:t>
            </w:r>
          </w:p>
          <w:p w:rsidR="009150E6" w:rsidRDefault="009150E6" w:rsidP="00383ABA">
            <w:pPr>
              <w:pStyle w:val="BA20-Feld0"/>
              <w:jc w:val="left"/>
              <w:rPr>
                <w:sz w:val="16"/>
              </w:rPr>
            </w:pPr>
            <w:r>
              <w:rPr>
                <w:sz w:val="16"/>
              </w:rPr>
              <w:t>Es besteht die Möglichkeit, arbeitsmedizinische Vorsorgeuntersuchungen in Anspruch zu nehmen. Dabei sind auch mögliche Im</w:t>
            </w:r>
            <w:r>
              <w:rPr>
                <w:sz w:val="16"/>
              </w:rPr>
              <w:t>p</w:t>
            </w:r>
            <w:r>
              <w:rPr>
                <w:sz w:val="16"/>
              </w:rPr>
              <w:t>fungen in Betracht zu ziehen.</w:t>
            </w:r>
          </w:p>
        </w:tc>
      </w:tr>
      <w:tr w:rsidR="009150E6" w:rsidTr="00383ABA">
        <w:tblPrEx>
          <w:tblCellMar>
            <w:top w:w="0" w:type="dxa"/>
            <w:bottom w:w="0" w:type="dxa"/>
          </w:tblCellMar>
        </w:tblPrEx>
        <w:trPr>
          <w:cantSplit/>
        </w:trPr>
        <w:tc>
          <w:tcPr>
            <w:tcW w:w="2055" w:type="dxa"/>
            <w:gridSpan w:val="3"/>
            <w:tcBorders>
              <w:left w:val="single" w:sz="48" w:space="0" w:color="FF00FF"/>
              <w:right w:val="single" w:sz="48" w:space="0" w:color="FF00FF"/>
            </w:tcBorders>
          </w:tcPr>
          <w:p w:rsidR="009150E6" w:rsidRDefault="009150E6">
            <w:pPr>
              <w:pStyle w:val="TitelOhne"/>
              <w:shd w:val="clear" w:color="auto" w:fill="FF00FF"/>
              <w:jc w:val="left"/>
              <w:rPr>
                <w:sz w:val="24"/>
              </w:rPr>
            </w:pPr>
          </w:p>
        </w:tc>
        <w:tc>
          <w:tcPr>
            <w:tcW w:w="5813" w:type="dxa"/>
            <w:gridSpan w:val="2"/>
            <w:tcBorders>
              <w:left w:val="nil"/>
              <w:right w:val="single" w:sz="48" w:space="0" w:color="FF00FF"/>
            </w:tcBorders>
            <w:shd w:val="clear" w:color="auto" w:fill="FF00FF"/>
          </w:tcPr>
          <w:p w:rsidR="009150E6" w:rsidRDefault="009150E6">
            <w:pPr>
              <w:pStyle w:val="TitelOhne"/>
              <w:shd w:val="clear" w:color="auto" w:fill="FF00FF"/>
              <w:rPr>
                <w:b w:val="0"/>
                <w:sz w:val="24"/>
              </w:rPr>
            </w:pPr>
            <w:r>
              <w:rPr>
                <w:sz w:val="24"/>
              </w:rPr>
              <w:t>VERHALTEN IM GEFAHRFALL</w:t>
            </w:r>
          </w:p>
        </w:tc>
        <w:tc>
          <w:tcPr>
            <w:tcW w:w="2693" w:type="dxa"/>
            <w:gridSpan w:val="2"/>
            <w:tcBorders>
              <w:left w:val="nil"/>
              <w:right w:val="single" w:sz="48" w:space="0" w:color="FF00FF"/>
            </w:tcBorders>
          </w:tcPr>
          <w:p w:rsidR="009150E6" w:rsidRDefault="009150E6">
            <w:pPr>
              <w:pStyle w:val="TitelOhne"/>
              <w:shd w:val="solid" w:color="FFFFFF" w:fill="auto"/>
              <w:rPr>
                <w:b w:val="0"/>
                <w:sz w:val="24"/>
              </w:rPr>
            </w:pPr>
            <w:r>
              <w:rPr>
                <w:color w:val="000000"/>
                <w:spacing w:val="0"/>
                <w:sz w:val="24"/>
              </w:rPr>
              <w:t xml:space="preserve">Ruf </w:t>
            </w:r>
            <w:r w:rsidR="00F151F9">
              <w:rPr>
                <w:color w:val="000000"/>
                <w:spacing w:val="0"/>
                <w:sz w:val="24"/>
              </w:rPr>
              <w:t>Feuerwehr</w:t>
            </w:r>
            <w:r>
              <w:rPr>
                <w:color w:val="000000"/>
                <w:spacing w:val="0"/>
                <w:sz w:val="24"/>
              </w:rPr>
              <w:t xml:space="preserve">: </w:t>
            </w:r>
            <w:r w:rsidR="00F151F9">
              <w:rPr>
                <w:color w:val="000000"/>
                <w:spacing w:val="0"/>
                <w:sz w:val="24"/>
              </w:rPr>
              <w:t>112</w:t>
            </w:r>
          </w:p>
        </w:tc>
      </w:tr>
      <w:tr w:rsidR="009150E6" w:rsidTr="00383ABA">
        <w:tblPrEx>
          <w:tblCellMar>
            <w:top w:w="0" w:type="dxa"/>
            <w:left w:w="71" w:type="dxa"/>
            <w:bottom w:w="0" w:type="dxa"/>
            <w:right w:w="71" w:type="dxa"/>
          </w:tblCellMar>
        </w:tblPrEx>
        <w:trPr>
          <w:cantSplit/>
        </w:trPr>
        <w:tc>
          <w:tcPr>
            <w:tcW w:w="1060" w:type="dxa"/>
            <w:tcBorders>
              <w:left w:val="single" w:sz="48" w:space="0" w:color="FF00FF"/>
              <w:right w:val="single" w:sz="6" w:space="0" w:color="000000"/>
            </w:tcBorders>
          </w:tcPr>
          <w:p w:rsidR="009150E6" w:rsidRDefault="00D65A7B">
            <w:pPr>
              <w:pStyle w:val="Zeichnung"/>
            </w:pPr>
            <w:r>
              <w:rPr>
                <w:noProof/>
              </w:rPr>
              <w:drawing>
                <wp:inline distT="0" distB="0" distL="0" distR="0">
                  <wp:extent cx="588645" cy="588645"/>
                  <wp:effectExtent l="0" t="0" r="1905" b="190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p w:rsidR="009150E6" w:rsidRDefault="009150E6">
            <w:pPr>
              <w:pStyle w:val="Zeichnung"/>
            </w:pPr>
          </w:p>
        </w:tc>
        <w:tc>
          <w:tcPr>
            <w:tcW w:w="9501" w:type="dxa"/>
            <w:gridSpan w:val="6"/>
            <w:tcBorders>
              <w:left w:val="single" w:sz="6" w:space="0" w:color="000000"/>
              <w:right w:val="single" w:sz="48" w:space="0" w:color="FF00FF"/>
            </w:tcBorders>
          </w:tcPr>
          <w:p w:rsidR="009150E6" w:rsidRDefault="009150E6" w:rsidP="006C7B99">
            <w:pPr>
              <w:pStyle w:val="BA20-Feld0"/>
              <w:spacing w:before="60" w:after="0"/>
              <w:jc w:val="left"/>
              <w:rPr>
                <w:sz w:val="16"/>
              </w:rPr>
            </w:pPr>
            <w:r>
              <w:rPr>
                <w:sz w:val="16"/>
              </w:rPr>
              <w:t>Beim unbeabsichtigten Freiwerden von biologischen Arbeitsstoffen Mitarbeiter warnen und sofort den Labo</w:t>
            </w:r>
            <w:r>
              <w:rPr>
                <w:sz w:val="16"/>
              </w:rPr>
              <w:t>r</w:t>
            </w:r>
            <w:r>
              <w:rPr>
                <w:sz w:val="16"/>
              </w:rPr>
              <w:t>leiter Herrn/Frau ...</w:t>
            </w:r>
            <w:r w:rsidR="00B04367">
              <w:rPr>
                <w:sz w:val="16"/>
              </w:rPr>
              <w:t>..</w:t>
            </w:r>
            <w:r>
              <w:rPr>
                <w:sz w:val="16"/>
              </w:rPr>
              <w:t xml:space="preserve"> </w:t>
            </w:r>
            <w:r w:rsidR="00B26F6D">
              <w:rPr>
                <w:sz w:val="16"/>
              </w:rPr>
              <w:t xml:space="preserve"> </w:t>
            </w:r>
            <w:r>
              <w:rPr>
                <w:sz w:val="16"/>
              </w:rPr>
              <w:t>Tel. ..</w:t>
            </w:r>
            <w:r w:rsidR="00B04367">
              <w:rPr>
                <w:sz w:val="16"/>
              </w:rPr>
              <w:t>..</w:t>
            </w:r>
            <w:r>
              <w:rPr>
                <w:sz w:val="16"/>
              </w:rPr>
              <w:t>. info</w:t>
            </w:r>
            <w:r>
              <w:rPr>
                <w:sz w:val="16"/>
              </w:rPr>
              <w:t>r</w:t>
            </w:r>
            <w:r>
              <w:rPr>
                <w:sz w:val="16"/>
              </w:rPr>
              <w:t>mieren.</w:t>
            </w:r>
          </w:p>
          <w:p w:rsidR="009150E6" w:rsidRDefault="009150E6" w:rsidP="00B04367">
            <w:pPr>
              <w:pStyle w:val="BA20-Feld0"/>
              <w:spacing w:after="20"/>
              <w:jc w:val="left"/>
              <w:rPr>
                <w:sz w:val="16"/>
              </w:rPr>
            </w:pPr>
            <w:r>
              <w:rPr>
                <w:sz w:val="16"/>
              </w:rPr>
              <w:t xml:space="preserve">Bei der Beseitigung des gefährlichen Zustands ist auf Eigenschutz zu achten. </w:t>
            </w:r>
            <w:r w:rsidR="006C7B99">
              <w:rPr>
                <w:sz w:val="16"/>
              </w:rPr>
              <w:t xml:space="preserve">Dabei sind mindestens </w:t>
            </w:r>
            <w:r>
              <w:rPr>
                <w:sz w:val="16"/>
              </w:rPr>
              <w:t>Schutzbrille, Einmalschutz</w:t>
            </w:r>
            <w:r w:rsidR="006C7B99">
              <w:rPr>
                <w:sz w:val="16"/>
              </w:rPr>
              <w:t>-</w:t>
            </w:r>
            <w:r>
              <w:rPr>
                <w:sz w:val="16"/>
              </w:rPr>
              <w:t xml:space="preserve">handschuhe (Latex oder Nitril) und bei möglichem Vorhandensein von Aerosolen </w:t>
            </w:r>
            <w:r w:rsidR="00CE3BA4">
              <w:rPr>
                <w:sz w:val="16"/>
              </w:rPr>
              <w:t>partikel</w:t>
            </w:r>
            <w:r>
              <w:rPr>
                <w:sz w:val="16"/>
              </w:rPr>
              <w:t xml:space="preserve">filtrierende Halbmasken </w:t>
            </w:r>
            <w:r w:rsidR="00CE3BA4">
              <w:rPr>
                <w:sz w:val="16"/>
              </w:rPr>
              <w:t>FF</w:t>
            </w:r>
            <w:r>
              <w:rPr>
                <w:sz w:val="16"/>
              </w:rPr>
              <w:t>P2 zu benu</w:t>
            </w:r>
            <w:r>
              <w:rPr>
                <w:sz w:val="16"/>
              </w:rPr>
              <w:t>t</w:t>
            </w:r>
            <w:r>
              <w:rPr>
                <w:sz w:val="16"/>
              </w:rPr>
              <w:t>zen.</w:t>
            </w:r>
          </w:p>
          <w:p w:rsidR="009150E6" w:rsidRDefault="009150E6" w:rsidP="003F1BC4">
            <w:pPr>
              <w:pStyle w:val="BA20-Feld0"/>
              <w:spacing w:after="20"/>
              <w:jc w:val="left"/>
              <w:rPr>
                <w:sz w:val="16"/>
              </w:rPr>
            </w:pPr>
            <w:r>
              <w:rPr>
                <w:sz w:val="16"/>
              </w:rPr>
              <w:t>Flüssigkeiten mit Zellstoff aufsaugen. Zellstoff bzw. kontaminierten Bereich sofort mit Desinfektionsmittel ..... einsprühen und mindestens 30 Minuten einwirken lassen. Ansch</w:t>
            </w:r>
            <w:r w:rsidR="006C7B99">
              <w:rPr>
                <w:sz w:val="16"/>
              </w:rPr>
              <w:t>l</w:t>
            </w:r>
            <w:r>
              <w:rPr>
                <w:sz w:val="16"/>
              </w:rPr>
              <w:t>ießend ist eine Reinigung gemäß Hygi</w:t>
            </w:r>
            <w:r>
              <w:rPr>
                <w:sz w:val="16"/>
              </w:rPr>
              <w:t>e</w:t>
            </w:r>
            <w:r>
              <w:rPr>
                <w:sz w:val="16"/>
              </w:rPr>
              <w:t>neplan durchzuführen.</w:t>
            </w:r>
          </w:p>
          <w:p w:rsidR="009150E6" w:rsidRDefault="009150E6" w:rsidP="003F1BC4">
            <w:pPr>
              <w:pStyle w:val="BA20-Feld0"/>
              <w:spacing w:after="20"/>
              <w:jc w:val="left"/>
              <w:rPr>
                <w:sz w:val="16"/>
              </w:rPr>
            </w:pPr>
            <w:r>
              <w:rPr>
                <w:sz w:val="16"/>
              </w:rPr>
              <w:t>Fenster und Türen sind bis zum Abschluss der Reinigungsaktion geschlossen zu halten. Der Zutritt Unbefugter ist zu verhindern.</w:t>
            </w:r>
          </w:p>
          <w:p w:rsidR="009150E6" w:rsidRDefault="009150E6" w:rsidP="00383ABA">
            <w:pPr>
              <w:pStyle w:val="BA20-Feld0"/>
              <w:jc w:val="left"/>
              <w:rPr>
                <w:sz w:val="16"/>
              </w:rPr>
            </w:pPr>
            <w:r>
              <w:rPr>
                <w:sz w:val="16"/>
              </w:rPr>
              <w:t>Sämtliche kontaminierten Gegenstände (auch Laborkittel) sind in Entsorgungsbeuteln zu sammeln und zu autoklavieren.</w:t>
            </w:r>
          </w:p>
        </w:tc>
      </w:tr>
      <w:tr w:rsidR="009150E6" w:rsidTr="00383ABA">
        <w:tblPrEx>
          <w:tblCellMar>
            <w:top w:w="0" w:type="dxa"/>
            <w:left w:w="71" w:type="dxa"/>
            <w:bottom w:w="0" w:type="dxa"/>
            <w:right w:w="71" w:type="dxa"/>
          </w:tblCellMar>
        </w:tblPrEx>
        <w:trPr>
          <w:cantSplit/>
        </w:trPr>
        <w:tc>
          <w:tcPr>
            <w:tcW w:w="3614" w:type="dxa"/>
            <w:gridSpan w:val="4"/>
            <w:tcBorders>
              <w:left w:val="single" w:sz="48" w:space="0" w:color="FF00FF"/>
              <w:right w:val="single" w:sz="48" w:space="0" w:color="FF00FF"/>
            </w:tcBorders>
            <w:shd w:val="clear" w:color="auto" w:fill="FF00FF"/>
          </w:tcPr>
          <w:p w:rsidR="009150E6" w:rsidRDefault="009150E6">
            <w:pPr>
              <w:pStyle w:val="TitelOhne"/>
              <w:shd w:val="clear" w:color="auto" w:fill="FF00FF"/>
              <w:rPr>
                <w:sz w:val="24"/>
              </w:rPr>
            </w:pPr>
          </w:p>
        </w:tc>
        <w:tc>
          <w:tcPr>
            <w:tcW w:w="4254" w:type="dxa"/>
            <w:tcBorders>
              <w:left w:val="nil"/>
              <w:right w:val="single" w:sz="48" w:space="0" w:color="FF00FF"/>
            </w:tcBorders>
            <w:shd w:val="clear" w:color="auto" w:fill="FF00FF"/>
          </w:tcPr>
          <w:p w:rsidR="009150E6" w:rsidRDefault="009150E6">
            <w:pPr>
              <w:pStyle w:val="TitelOhne"/>
              <w:shd w:val="clear" w:color="auto" w:fill="FF00FF"/>
              <w:rPr>
                <w:b w:val="0"/>
                <w:sz w:val="24"/>
                <w:highlight w:val="magenta"/>
              </w:rPr>
            </w:pPr>
            <w:r>
              <w:rPr>
                <w:sz w:val="24"/>
                <w:highlight w:val="magenta"/>
              </w:rPr>
              <w:t>ERSTE HILFE</w:t>
            </w:r>
          </w:p>
        </w:tc>
        <w:tc>
          <w:tcPr>
            <w:tcW w:w="2693" w:type="dxa"/>
            <w:gridSpan w:val="2"/>
            <w:tcBorders>
              <w:left w:val="nil"/>
              <w:right w:val="single" w:sz="48" w:space="0" w:color="FF00FF"/>
            </w:tcBorders>
          </w:tcPr>
          <w:p w:rsidR="009150E6" w:rsidRDefault="009150E6">
            <w:pPr>
              <w:pStyle w:val="TitelOhne"/>
              <w:shd w:val="solid" w:color="FFFFFF" w:fill="auto"/>
              <w:rPr>
                <w:b w:val="0"/>
                <w:sz w:val="24"/>
              </w:rPr>
            </w:pPr>
            <w:r>
              <w:rPr>
                <w:color w:val="000000"/>
                <w:spacing w:val="0"/>
                <w:sz w:val="24"/>
              </w:rPr>
              <w:t>Notruf</w:t>
            </w:r>
            <w:r w:rsidR="00383ABA">
              <w:rPr>
                <w:color w:val="000000"/>
                <w:spacing w:val="0"/>
                <w:sz w:val="24"/>
              </w:rPr>
              <w:t>:</w:t>
            </w:r>
            <w:r>
              <w:rPr>
                <w:color w:val="000000"/>
                <w:spacing w:val="0"/>
                <w:sz w:val="24"/>
              </w:rPr>
              <w:t xml:space="preserve"> 112</w:t>
            </w:r>
          </w:p>
        </w:tc>
      </w:tr>
      <w:tr w:rsidR="009150E6" w:rsidTr="00383ABA">
        <w:tblPrEx>
          <w:tblCellMar>
            <w:top w:w="0" w:type="dxa"/>
            <w:left w:w="71" w:type="dxa"/>
            <w:bottom w:w="0" w:type="dxa"/>
            <w:right w:w="71" w:type="dxa"/>
          </w:tblCellMar>
        </w:tblPrEx>
        <w:trPr>
          <w:cantSplit/>
        </w:trPr>
        <w:tc>
          <w:tcPr>
            <w:tcW w:w="1060" w:type="dxa"/>
            <w:tcBorders>
              <w:left w:val="single" w:sz="48" w:space="0" w:color="FF00FF"/>
              <w:right w:val="single" w:sz="6" w:space="0" w:color="000000"/>
            </w:tcBorders>
          </w:tcPr>
          <w:p w:rsidR="009150E6" w:rsidRDefault="00D65A7B">
            <w:pPr>
              <w:tabs>
                <w:tab w:val="left" w:pos="1702"/>
              </w:tabs>
              <w:spacing w:before="60"/>
              <w:rPr>
                <w:b/>
                <w:sz w:val="24"/>
              </w:rPr>
            </w:pPr>
            <w:r>
              <w:rPr>
                <w:noProof/>
              </w:rPr>
              <w:drawing>
                <wp:inline distT="0" distB="0" distL="0" distR="0">
                  <wp:extent cx="563245" cy="563245"/>
                  <wp:effectExtent l="0" t="0" r="8255" b="8255"/>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inline>
              </w:drawing>
            </w:r>
          </w:p>
        </w:tc>
        <w:tc>
          <w:tcPr>
            <w:tcW w:w="9501" w:type="dxa"/>
            <w:gridSpan w:val="6"/>
            <w:tcBorders>
              <w:left w:val="single" w:sz="6" w:space="0" w:color="000000"/>
              <w:right w:val="single" w:sz="48" w:space="0" w:color="FF00FF"/>
            </w:tcBorders>
          </w:tcPr>
          <w:p w:rsidR="009150E6" w:rsidRDefault="009150E6" w:rsidP="006C7B99">
            <w:pPr>
              <w:pStyle w:val="BA20-Feld0"/>
              <w:spacing w:before="60" w:after="20"/>
              <w:jc w:val="left"/>
              <w:rPr>
                <w:sz w:val="16"/>
              </w:rPr>
            </w:pPr>
            <w:r>
              <w:rPr>
                <w:sz w:val="16"/>
              </w:rPr>
              <w:t>Benetzte Kleidung (auch Unterkleidung) sofort ausziehen und erst nach desinfizierender Reinigung wieder verwe</w:t>
            </w:r>
            <w:r>
              <w:rPr>
                <w:sz w:val="16"/>
              </w:rPr>
              <w:t>n</w:t>
            </w:r>
            <w:r>
              <w:rPr>
                <w:sz w:val="16"/>
              </w:rPr>
              <w:t>den.</w:t>
            </w:r>
          </w:p>
          <w:p w:rsidR="009150E6" w:rsidRDefault="009150E6" w:rsidP="003F1BC4">
            <w:pPr>
              <w:pStyle w:val="BA20-Feld0"/>
              <w:spacing w:after="20"/>
              <w:jc w:val="left"/>
              <w:rPr>
                <w:sz w:val="16"/>
              </w:rPr>
            </w:pPr>
            <w:r>
              <w:rPr>
                <w:sz w:val="16"/>
              </w:rPr>
              <w:t>Offene Wunde ausspülen, möglichst ausbluten lassen und sofort mit Desinfektionsmittel .... einsprühen, Desinfektionsmittel ggf. nachdosieren und nach Vorschrift, mindestens jedoch 30 Minuten einwirken la</w:t>
            </w:r>
            <w:r>
              <w:rPr>
                <w:sz w:val="16"/>
              </w:rPr>
              <w:t>s</w:t>
            </w:r>
            <w:r>
              <w:rPr>
                <w:sz w:val="16"/>
              </w:rPr>
              <w:t>sen.</w:t>
            </w:r>
          </w:p>
          <w:p w:rsidR="009150E6" w:rsidRDefault="009150E6" w:rsidP="003F1BC4">
            <w:pPr>
              <w:pStyle w:val="BA20-Feld0"/>
              <w:spacing w:after="20"/>
              <w:jc w:val="left"/>
              <w:rPr>
                <w:sz w:val="16"/>
              </w:rPr>
            </w:pPr>
            <w:r>
              <w:rPr>
                <w:sz w:val="16"/>
              </w:rPr>
              <w:t>Bei Spritzer</w:t>
            </w:r>
            <w:r w:rsidR="00F91A78">
              <w:rPr>
                <w:sz w:val="16"/>
              </w:rPr>
              <w:t>n</w:t>
            </w:r>
            <w:r>
              <w:rPr>
                <w:sz w:val="16"/>
              </w:rPr>
              <w:t xml:space="preserve"> ins Auge mit der Augendusche intensiv spülen. Anschließend Augentropfen (Einmalphiole .....) einträufeln.</w:t>
            </w:r>
          </w:p>
          <w:p w:rsidR="009150E6" w:rsidRDefault="009150E6" w:rsidP="00383ABA">
            <w:pPr>
              <w:pStyle w:val="BA20-Feld0"/>
              <w:jc w:val="left"/>
              <w:rPr>
                <w:sz w:val="16"/>
              </w:rPr>
            </w:pPr>
            <w:r>
              <w:rPr>
                <w:sz w:val="16"/>
              </w:rPr>
              <w:t>Verletzungen sind sofort dem zuständigen Vorgesetzten zu melden und unbedingt in das Verbandbuch einzutragen.</w:t>
            </w:r>
          </w:p>
        </w:tc>
      </w:tr>
      <w:tr w:rsidR="009150E6" w:rsidTr="00383ABA">
        <w:tblPrEx>
          <w:tblCellMar>
            <w:top w:w="0" w:type="dxa"/>
            <w:bottom w:w="0" w:type="dxa"/>
          </w:tblCellMar>
        </w:tblPrEx>
        <w:trPr>
          <w:cantSplit/>
        </w:trPr>
        <w:tc>
          <w:tcPr>
            <w:tcW w:w="10561" w:type="dxa"/>
            <w:gridSpan w:val="7"/>
            <w:tcBorders>
              <w:left w:val="single" w:sz="48" w:space="0" w:color="FF00FF"/>
              <w:right w:val="single" w:sz="48" w:space="0" w:color="FF00FF"/>
            </w:tcBorders>
          </w:tcPr>
          <w:p w:rsidR="009150E6" w:rsidRPr="008F1673" w:rsidRDefault="009150E6">
            <w:pPr>
              <w:pStyle w:val="TitelOhne"/>
              <w:shd w:val="clear" w:color="auto" w:fill="FF00FF"/>
              <w:rPr>
                <w:sz w:val="24"/>
                <w:szCs w:val="24"/>
              </w:rPr>
            </w:pPr>
            <w:r w:rsidRPr="008F1673">
              <w:rPr>
                <w:sz w:val="24"/>
                <w:szCs w:val="24"/>
              </w:rPr>
              <w:t>SACHGERECHTE ENTSORGUNG</w:t>
            </w:r>
          </w:p>
        </w:tc>
      </w:tr>
      <w:bookmarkStart w:id="3" w:name="_MON_1009344895"/>
      <w:bookmarkEnd w:id="3"/>
      <w:tr w:rsidR="009150E6" w:rsidTr="00383ABA">
        <w:tblPrEx>
          <w:tblCellMar>
            <w:top w:w="0" w:type="dxa"/>
            <w:left w:w="71" w:type="dxa"/>
            <w:bottom w:w="0" w:type="dxa"/>
            <w:right w:w="71" w:type="dxa"/>
          </w:tblCellMar>
        </w:tblPrEx>
        <w:trPr>
          <w:cantSplit/>
        </w:trPr>
        <w:tc>
          <w:tcPr>
            <w:tcW w:w="1060" w:type="dxa"/>
            <w:tcBorders>
              <w:left w:val="single" w:sz="48" w:space="0" w:color="FF00FF"/>
              <w:bottom w:val="single" w:sz="48" w:space="0" w:color="FF00FF"/>
              <w:right w:val="single" w:sz="6" w:space="0" w:color="000000"/>
            </w:tcBorders>
          </w:tcPr>
          <w:p w:rsidR="009150E6" w:rsidRDefault="009150E6">
            <w:pPr>
              <w:ind w:left="360" w:hanging="360"/>
              <w:rPr>
                <w:sz w:val="24"/>
              </w:rPr>
            </w:pPr>
            <w:r>
              <w:object w:dxaOrig="901" w:dyaOrig="673">
                <v:shape id="_x0000_i1032" type="#_x0000_t75" style="width:45pt;height:33.65pt" o:ole="" fillcolor="window">
                  <v:imagedata r:id="rId14" o:title=""/>
                </v:shape>
                <o:OLEObject Type="Embed" ProgID="Word.Picture.8" ShapeID="_x0000_i1032" DrawAspect="Content" ObjectID="_1624779422" r:id="rId15"/>
              </w:object>
            </w:r>
          </w:p>
        </w:tc>
        <w:tc>
          <w:tcPr>
            <w:tcW w:w="9501" w:type="dxa"/>
            <w:gridSpan w:val="6"/>
            <w:tcBorders>
              <w:left w:val="single" w:sz="6" w:space="0" w:color="000000"/>
              <w:bottom w:val="single" w:sz="48" w:space="0" w:color="FF00FF"/>
              <w:right w:val="single" w:sz="48" w:space="0" w:color="FF00FF"/>
            </w:tcBorders>
          </w:tcPr>
          <w:p w:rsidR="009150E6" w:rsidRDefault="009150E6" w:rsidP="006C7B99">
            <w:pPr>
              <w:pStyle w:val="BA20-Feld0"/>
              <w:spacing w:before="60" w:after="20"/>
              <w:jc w:val="left"/>
              <w:rPr>
                <w:sz w:val="16"/>
              </w:rPr>
            </w:pPr>
            <w:r>
              <w:rPr>
                <w:sz w:val="16"/>
              </w:rPr>
              <w:t>Kontaminierte Geräte und Instrumente gem</w:t>
            </w:r>
            <w:r w:rsidR="003F1BC4">
              <w:rPr>
                <w:sz w:val="16"/>
              </w:rPr>
              <w:t>äß</w:t>
            </w:r>
            <w:r>
              <w:rPr>
                <w:sz w:val="16"/>
              </w:rPr>
              <w:t xml:space="preserve"> Hygieneplan regelmäßig reinigen und desinfizieren, sterilisieren oder autoklavi</w:t>
            </w:r>
            <w:r>
              <w:rPr>
                <w:sz w:val="16"/>
              </w:rPr>
              <w:t>e</w:t>
            </w:r>
            <w:r>
              <w:rPr>
                <w:sz w:val="16"/>
              </w:rPr>
              <w:t>ren.</w:t>
            </w:r>
          </w:p>
          <w:p w:rsidR="009150E6" w:rsidRDefault="009150E6" w:rsidP="0088360C">
            <w:pPr>
              <w:pStyle w:val="BA20-Feld0"/>
              <w:jc w:val="left"/>
              <w:rPr>
                <w:sz w:val="16"/>
              </w:rPr>
            </w:pPr>
            <w:r>
              <w:rPr>
                <w:sz w:val="16"/>
              </w:rPr>
              <w:t>Sämtliche kontaminierten Wegwerf-Abfälle in den gekennzeichneten Abfallbehältern (mit Inlinersack) sammeln und bei Bedarf, spätestens vor dem Wochenende, autoklavieren. Blut- oder Gewebereste usw. in den speziell gekennzeichneten Weithalsfl</w:t>
            </w:r>
            <w:r>
              <w:rPr>
                <w:sz w:val="16"/>
              </w:rPr>
              <w:t>a</w:t>
            </w:r>
            <w:r>
              <w:rPr>
                <w:sz w:val="16"/>
              </w:rPr>
              <w:t>schen (PE) mit Schraubverschlu</w:t>
            </w:r>
            <w:r w:rsidR="0005648D">
              <w:rPr>
                <w:sz w:val="16"/>
              </w:rPr>
              <w:t>ss</w:t>
            </w:r>
            <w:r>
              <w:rPr>
                <w:sz w:val="16"/>
              </w:rPr>
              <w:t xml:space="preserve"> sammeln. Die Entsorgung erfolgt arbeitstäglich über die Haustec</w:t>
            </w:r>
            <w:r>
              <w:rPr>
                <w:sz w:val="16"/>
              </w:rPr>
              <w:t>h</w:t>
            </w:r>
            <w:r>
              <w:rPr>
                <w:sz w:val="16"/>
              </w:rPr>
              <w:t>nik</w:t>
            </w:r>
            <w:r w:rsidR="003F1BC4">
              <w:rPr>
                <w:sz w:val="16"/>
              </w:rPr>
              <w:t xml:space="preserve"> </w:t>
            </w:r>
            <w:r>
              <w:rPr>
                <w:sz w:val="16"/>
              </w:rPr>
              <w:t>(Herr/Frau .</w:t>
            </w:r>
            <w:r w:rsidR="00B04367">
              <w:rPr>
                <w:sz w:val="16"/>
              </w:rPr>
              <w:t>..</w:t>
            </w:r>
            <w:r>
              <w:rPr>
                <w:sz w:val="16"/>
              </w:rPr>
              <w:t xml:space="preserve">.., Tel. </w:t>
            </w:r>
            <w:r w:rsidR="00B04367">
              <w:rPr>
                <w:sz w:val="16"/>
              </w:rPr>
              <w:t>..</w:t>
            </w:r>
            <w:r>
              <w:rPr>
                <w:sz w:val="16"/>
              </w:rPr>
              <w:t>...).</w:t>
            </w:r>
          </w:p>
        </w:tc>
      </w:tr>
    </w:tbl>
    <w:p w:rsidR="009150E6" w:rsidRDefault="009150E6">
      <w:pPr>
        <w:pStyle w:val="Zeichnung"/>
        <w:ind w:left="-142"/>
        <w:jc w:val="left"/>
      </w:pPr>
    </w:p>
    <w:sectPr w:rsidR="009150E6" w:rsidSect="00383ABA">
      <w:pgSz w:w="11907" w:h="16840"/>
      <w:pgMar w:top="851" w:right="851" w:bottom="567" w:left="851"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AD2"/>
    <w:multiLevelType w:val="singleLevel"/>
    <w:tmpl w:val="61B84CE8"/>
    <w:lvl w:ilvl="0">
      <w:numFmt w:val="bullet"/>
      <w:lvlText w:val="-"/>
      <w:lvlJc w:val="left"/>
      <w:pPr>
        <w:tabs>
          <w:tab w:val="num" w:pos="360"/>
        </w:tabs>
        <w:ind w:left="360" w:hanging="360"/>
      </w:pPr>
      <w:rPr>
        <w:rFonts w:ascii="Times New Roman" w:hAnsi="Times New Roman" w:hint="default"/>
      </w:rPr>
    </w:lvl>
  </w:abstractNum>
  <w:abstractNum w:abstractNumId="1">
    <w:nsid w:val="0DD66C05"/>
    <w:multiLevelType w:val="singleLevel"/>
    <w:tmpl w:val="9A6A45C8"/>
    <w:lvl w:ilvl="0">
      <w:numFmt w:val="bullet"/>
      <w:lvlText w:val="-"/>
      <w:lvlJc w:val="left"/>
      <w:pPr>
        <w:tabs>
          <w:tab w:val="num" w:pos="360"/>
        </w:tabs>
        <w:ind w:left="360" w:hanging="360"/>
      </w:pPr>
      <w:rPr>
        <w:rFonts w:ascii="Times New Roman" w:hAnsi="Times New Roman" w:hint="default"/>
      </w:rPr>
    </w:lvl>
  </w:abstractNum>
  <w:abstractNum w:abstractNumId="2">
    <w:nsid w:val="427713EB"/>
    <w:multiLevelType w:val="singleLevel"/>
    <w:tmpl w:val="9A6A45C8"/>
    <w:lvl w:ilvl="0">
      <w:numFmt w:val="bullet"/>
      <w:lvlText w:val="-"/>
      <w:lvlJc w:val="left"/>
      <w:pPr>
        <w:tabs>
          <w:tab w:val="num" w:pos="360"/>
        </w:tabs>
        <w:ind w:left="360" w:hanging="360"/>
      </w:pPr>
      <w:rPr>
        <w:rFonts w:ascii="Times New Roman" w:hAnsi="Times New Roman" w:hint="default"/>
      </w:rPr>
    </w:lvl>
  </w:abstractNum>
  <w:abstractNum w:abstractNumId="3">
    <w:nsid w:val="471A67D0"/>
    <w:multiLevelType w:val="singleLevel"/>
    <w:tmpl w:val="9A6A45C8"/>
    <w:lvl w:ilvl="0">
      <w:numFmt w:val="bullet"/>
      <w:lvlText w:val="-"/>
      <w:lvlJc w:val="left"/>
      <w:pPr>
        <w:tabs>
          <w:tab w:val="num" w:pos="360"/>
        </w:tabs>
        <w:ind w:left="360" w:hanging="360"/>
      </w:pPr>
      <w:rPr>
        <w:rFonts w:ascii="Times New Roman" w:hAnsi="Times New Roman" w:hint="default"/>
      </w:rPr>
    </w:lvl>
  </w:abstractNum>
  <w:abstractNum w:abstractNumId="4">
    <w:nsid w:val="5BBA2669"/>
    <w:multiLevelType w:val="singleLevel"/>
    <w:tmpl w:val="9A6A45C8"/>
    <w:lvl w:ilvl="0">
      <w:numFmt w:val="bullet"/>
      <w:lvlText w:val="-"/>
      <w:lvlJc w:val="left"/>
      <w:pPr>
        <w:tabs>
          <w:tab w:val="num" w:pos="360"/>
        </w:tabs>
        <w:ind w:left="360" w:hanging="360"/>
      </w:pPr>
      <w:rPr>
        <w:rFonts w:ascii="Times New Roman" w:hAnsi="Times New Roman" w:hint="default"/>
      </w:rPr>
    </w:lvl>
  </w:abstractNum>
  <w:abstractNum w:abstractNumId="5">
    <w:nsid w:val="5DD905F2"/>
    <w:multiLevelType w:val="singleLevel"/>
    <w:tmpl w:val="9A6A45C8"/>
    <w:lvl w:ilvl="0">
      <w:numFmt w:val="bullet"/>
      <w:lvlText w:val="-"/>
      <w:lvlJc w:val="left"/>
      <w:pPr>
        <w:tabs>
          <w:tab w:val="num" w:pos="360"/>
        </w:tabs>
        <w:ind w:left="360" w:hanging="360"/>
      </w:pPr>
      <w:rPr>
        <w:rFonts w:ascii="Times New Roman" w:hAnsi="Times New Roman" w:hint="default"/>
      </w:rPr>
    </w:lvl>
  </w:abstractNum>
  <w:abstractNum w:abstractNumId="6">
    <w:nsid w:val="62B2151C"/>
    <w:multiLevelType w:val="singleLevel"/>
    <w:tmpl w:val="0407000F"/>
    <w:lvl w:ilvl="0">
      <w:start w:val="1"/>
      <w:numFmt w:val="decimal"/>
      <w:lvlText w:val="%1."/>
      <w:lvlJc w:val="left"/>
      <w:pPr>
        <w:tabs>
          <w:tab w:val="num" w:pos="360"/>
        </w:tabs>
        <w:ind w:left="360" w:hanging="360"/>
      </w:pPr>
    </w:lvl>
  </w:abstractNum>
  <w:abstractNum w:abstractNumId="7">
    <w:nsid w:val="63DF219D"/>
    <w:multiLevelType w:val="singleLevel"/>
    <w:tmpl w:val="61B84CE8"/>
    <w:lvl w:ilvl="0">
      <w:numFmt w:val="bullet"/>
      <w:lvlText w:val="-"/>
      <w:lvlJc w:val="left"/>
      <w:pPr>
        <w:tabs>
          <w:tab w:val="num" w:pos="360"/>
        </w:tabs>
        <w:ind w:left="360" w:hanging="360"/>
      </w:pPr>
      <w:rPr>
        <w:rFonts w:ascii="Times New Roman" w:hAnsi="Times New Roman" w:hint="default"/>
      </w:rPr>
    </w:lvl>
  </w:abstractNum>
  <w:abstractNum w:abstractNumId="8">
    <w:nsid w:val="75EC2C86"/>
    <w:multiLevelType w:val="singleLevel"/>
    <w:tmpl w:val="9A6A45C8"/>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7"/>
  </w:num>
  <w:num w:numId="3">
    <w:abstractNumId w:val="6"/>
  </w:num>
  <w:num w:numId="4">
    <w:abstractNumId w:val="0"/>
  </w:num>
  <w:num w:numId="5">
    <w:abstractNumId w:val="8"/>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DisplayPageBoundaries/>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E6"/>
    <w:rsid w:val="0005648D"/>
    <w:rsid w:val="00193F89"/>
    <w:rsid w:val="001B3822"/>
    <w:rsid w:val="00241B31"/>
    <w:rsid w:val="00374B9E"/>
    <w:rsid w:val="00383ABA"/>
    <w:rsid w:val="003F1BC4"/>
    <w:rsid w:val="00543212"/>
    <w:rsid w:val="005847B4"/>
    <w:rsid w:val="005A07DE"/>
    <w:rsid w:val="006C7B99"/>
    <w:rsid w:val="00772061"/>
    <w:rsid w:val="0088360C"/>
    <w:rsid w:val="008F1673"/>
    <w:rsid w:val="009150E6"/>
    <w:rsid w:val="00963EC4"/>
    <w:rsid w:val="009E6B3F"/>
    <w:rsid w:val="00AF28B5"/>
    <w:rsid w:val="00B04367"/>
    <w:rsid w:val="00B26F6D"/>
    <w:rsid w:val="00B6119F"/>
    <w:rsid w:val="00CE3BA4"/>
    <w:rsid w:val="00D42E6E"/>
    <w:rsid w:val="00D65A7B"/>
    <w:rsid w:val="00DF1FD5"/>
    <w:rsid w:val="00F151F9"/>
    <w:rsid w:val="00F91A78"/>
    <w:rsid w:val="00FD76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before="72" w:after="72"/>
    </w:pPr>
    <w:rPr>
      <w:rFonts w:ascii="Arial" w:hAnsi="Arial"/>
      <w:sz w:val="22"/>
    </w:rPr>
  </w:style>
  <w:style w:type="paragraph" w:styleId="berschrift1">
    <w:name w:val="heading 1"/>
    <w:basedOn w:val="Standard"/>
    <w:next w:val="Standard"/>
    <w:qFormat/>
    <w:pPr>
      <w:keepNext/>
      <w:spacing w:before="0" w:after="0"/>
      <w:jc w:val="center"/>
      <w:outlineLvl w:val="0"/>
    </w:pPr>
    <w:rPr>
      <w:b/>
      <w:sz w:val="96"/>
    </w:rPr>
  </w:style>
  <w:style w:type="paragraph" w:styleId="berschrift2">
    <w:name w:val="heading 2"/>
    <w:basedOn w:val="Standard"/>
    <w:next w:val="Standard"/>
    <w:qFormat/>
    <w:pPr>
      <w:keepNext/>
      <w:spacing w:before="0" w:after="0"/>
      <w:jc w:val="center"/>
      <w:outlineLvl w:val="1"/>
    </w:pPr>
    <w:rPr>
      <w:b/>
      <w:spacing w:val="60"/>
      <w:sz w:val="28"/>
    </w:rPr>
  </w:style>
  <w:style w:type="paragraph" w:styleId="berschrift3">
    <w:name w:val="heading 3"/>
    <w:basedOn w:val="Standard"/>
    <w:next w:val="Standard"/>
    <w:qFormat/>
    <w:pPr>
      <w:keepNext/>
      <w:spacing w:before="0" w:after="0"/>
      <w:jc w:val="center"/>
      <w:outlineLvl w:val="2"/>
    </w:pPr>
    <w:rPr>
      <w:b/>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Zeichnung">
    <w:name w:val="Zeichnung"/>
    <w:basedOn w:val="Standard"/>
    <w:pPr>
      <w:spacing w:before="48" w:after="48"/>
      <w:jc w:val="center"/>
    </w:pPr>
    <w:rPr>
      <w:sz w:val="16"/>
    </w:rPr>
  </w:style>
  <w:style w:type="paragraph" w:customStyle="1" w:styleId="TitelOhne">
    <w:name w:val="TitelOhne"/>
    <w:basedOn w:val="Standard"/>
    <w:pPr>
      <w:pBdr>
        <w:top w:val="single" w:sz="12" w:space="1" w:color="FF0000"/>
        <w:left w:val="single" w:sz="12" w:space="1" w:color="FF0000"/>
        <w:bottom w:val="single" w:sz="12" w:space="1" w:color="FF0000"/>
        <w:right w:val="single" w:sz="12" w:space="1" w:color="FF0000"/>
      </w:pBdr>
      <w:shd w:val="solid" w:color="FF0000" w:fill="auto"/>
      <w:spacing w:before="0" w:after="0"/>
      <w:jc w:val="center"/>
    </w:pPr>
    <w:rPr>
      <w:b/>
      <w:color w:val="FFFFFF"/>
      <w:spacing w:val="60"/>
      <w:sz w:val="28"/>
    </w:rPr>
  </w:style>
  <w:style w:type="paragraph" w:styleId="Titel">
    <w:name w:val="Title"/>
    <w:basedOn w:val="Standard"/>
    <w:qFormat/>
    <w:pPr>
      <w:spacing w:before="48" w:after="48"/>
      <w:jc w:val="center"/>
    </w:pPr>
    <w:rPr>
      <w:b/>
      <w:sz w:val="26"/>
    </w:rPr>
  </w:style>
  <w:style w:type="paragraph" w:styleId="Sprechblasentext">
    <w:name w:val="Balloon Text"/>
    <w:basedOn w:val="Standard"/>
    <w:semiHidden/>
    <w:rsid w:val="009150E6"/>
    <w:rPr>
      <w:rFonts w:ascii="Tahoma" w:hAnsi="Tahoma" w:cs="Tahoma"/>
      <w:sz w:val="16"/>
      <w:szCs w:val="16"/>
    </w:rPr>
  </w:style>
  <w:style w:type="paragraph" w:customStyle="1" w:styleId="BA20-Feld0">
    <w:name w:val="BA20-Feld0"/>
    <w:basedOn w:val="Zeichnung"/>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before="72" w:after="72"/>
    </w:pPr>
    <w:rPr>
      <w:rFonts w:ascii="Arial" w:hAnsi="Arial"/>
      <w:sz w:val="22"/>
    </w:rPr>
  </w:style>
  <w:style w:type="paragraph" w:styleId="berschrift1">
    <w:name w:val="heading 1"/>
    <w:basedOn w:val="Standard"/>
    <w:next w:val="Standard"/>
    <w:qFormat/>
    <w:pPr>
      <w:keepNext/>
      <w:spacing w:before="0" w:after="0"/>
      <w:jc w:val="center"/>
      <w:outlineLvl w:val="0"/>
    </w:pPr>
    <w:rPr>
      <w:b/>
      <w:sz w:val="96"/>
    </w:rPr>
  </w:style>
  <w:style w:type="paragraph" w:styleId="berschrift2">
    <w:name w:val="heading 2"/>
    <w:basedOn w:val="Standard"/>
    <w:next w:val="Standard"/>
    <w:qFormat/>
    <w:pPr>
      <w:keepNext/>
      <w:spacing w:before="0" w:after="0"/>
      <w:jc w:val="center"/>
      <w:outlineLvl w:val="1"/>
    </w:pPr>
    <w:rPr>
      <w:b/>
      <w:spacing w:val="60"/>
      <w:sz w:val="28"/>
    </w:rPr>
  </w:style>
  <w:style w:type="paragraph" w:styleId="berschrift3">
    <w:name w:val="heading 3"/>
    <w:basedOn w:val="Standard"/>
    <w:next w:val="Standard"/>
    <w:qFormat/>
    <w:pPr>
      <w:keepNext/>
      <w:spacing w:before="0" w:after="0"/>
      <w:jc w:val="center"/>
      <w:outlineLvl w:val="2"/>
    </w:pPr>
    <w:rPr>
      <w:b/>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Zeichnung">
    <w:name w:val="Zeichnung"/>
    <w:basedOn w:val="Standard"/>
    <w:pPr>
      <w:spacing w:before="48" w:after="48"/>
      <w:jc w:val="center"/>
    </w:pPr>
    <w:rPr>
      <w:sz w:val="16"/>
    </w:rPr>
  </w:style>
  <w:style w:type="paragraph" w:customStyle="1" w:styleId="TitelOhne">
    <w:name w:val="TitelOhne"/>
    <w:basedOn w:val="Standard"/>
    <w:pPr>
      <w:pBdr>
        <w:top w:val="single" w:sz="12" w:space="1" w:color="FF0000"/>
        <w:left w:val="single" w:sz="12" w:space="1" w:color="FF0000"/>
        <w:bottom w:val="single" w:sz="12" w:space="1" w:color="FF0000"/>
        <w:right w:val="single" w:sz="12" w:space="1" w:color="FF0000"/>
      </w:pBdr>
      <w:shd w:val="solid" w:color="FF0000" w:fill="auto"/>
      <w:spacing w:before="0" w:after="0"/>
      <w:jc w:val="center"/>
    </w:pPr>
    <w:rPr>
      <w:b/>
      <w:color w:val="FFFFFF"/>
      <w:spacing w:val="60"/>
      <w:sz w:val="28"/>
    </w:rPr>
  </w:style>
  <w:style w:type="paragraph" w:styleId="Titel">
    <w:name w:val="Title"/>
    <w:basedOn w:val="Standard"/>
    <w:qFormat/>
    <w:pPr>
      <w:spacing w:before="48" w:after="48"/>
      <w:jc w:val="center"/>
    </w:pPr>
    <w:rPr>
      <w:b/>
      <w:sz w:val="26"/>
    </w:rPr>
  </w:style>
  <w:style w:type="paragraph" w:styleId="Sprechblasentext">
    <w:name w:val="Balloon Text"/>
    <w:basedOn w:val="Standard"/>
    <w:semiHidden/>
    <w:rsid w:val="009150E6"/>
    <w:rPr>
      <w:rFonts w:ascii="Tahoma" w:hAnsi="Tahoma" w:cs="Tahoma"/>
      <w:sz w:val="16"/>
      <w:szCs w:val="16"/>
    </w:rPr>
  </w:style>
  <w:style w:type="paragraph" w:customStyle="1" w:styleId="BA20-Feld0">
    <w:name w:val="BA20-Feld0"/>
    <w:basedOn w:val="Zeichnung"/>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20Dateien\WEKA\BAMedizinischesUntersuchungsgu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BAMedizinischesUntersuchungsgut.dot</Template>
  <TotalTime>0</TotalTime>
  <Pages>1</Pages>
  <Words>731</Words>
  <Characters>4607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BG Chemie</vt:lpstr>
    </vt:vector>
  </TitlesOfParts>
  <Company>BG Chemie / TAD Heidelberg</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RCI</dc:title>
  <dc:creator>Dr. Glück</dc:creator>
  <cp:lastModifiedBy>Technik und Medien GmbH</cp:lastModifiedBy>
  <cp:revision>2</cp:revision>
  <cp:lastPrinted>2011-01-28T08:01:00Z</cp:lastPrinted>
  <dcterms:created xsi:type="dcterms:W3CDTF">2019-07-16T08:51:00Z</dcterms:created>
  <dcterms:modified xsi:type="dcterms:W3CDTF">2019-07-16T08:51:00Z</dcterms:modified>
</cp:coreProperties>
</file>