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 w:type="dxa"/>
        <w:tblLayout w:type="fixed"/>
        <w:tblCellMar>
          <w:left w:w="70" w:type="dxa"/>
          <w:right w:w="70" w:type="dxa"/>
        </w:tblCellMar>
        <w:tblLook w:val="0000" w:firstRow="0" w:lastRow="0" w:firstColumn="0" w:lastColumn="0" w:noHBand="0" w:noVBand="0"/>
      </w:tblPr>
      <w:tblGrid>
        <w:gridCol w:w="1064"/>
        <w:gridCol w:w="282"/>
        <w:gridCol w:w="709"/>
        <w:gridCol w:w="1559"/>
        <w:gridCol w:w="4254"/>
        <w:gridCol w:w="930"/>
        <w:gridCol w:w="629"/>
        <w:gridCol w:w="1421"/>
      </w:tblGrid>
      <w:tr w:rsidR="00186A64" w:rsidTr="006E42ED">
        <w:tblPrEx>
          <w:tblCellMar>
            <w:top w:w="0" w:type="dxa"/>
            <w:bottom w:w="0" w:type="dxa"/>
          </w:tblCellMar>
        </w:tblPrEx>
        <w:trPr>
          <w:cantSplit/>
        </w:trPr>
        <w:tc>
          <w:tcPr>
            <w:tcW w:w="1346" w:type="dxa"/>
            <w:gridSpan w:val="2"/>
            <w:tcBorders>
              <w:top w:val="single" w:sz="48" w:space="0" w:color="FF0000"/>
              <w:left w:val="single" w:sz="48" w:space="0" w:color="FF0000"/>
              <w:right w:val="single" w:sz="6" w:space="0" w:color="auto"/>
            </w:tcBorders>
          </w:tcPr>
          <w:p w:rsidR="00186A64" w:rsidRPr="00860F11" w:rsidRDefault="00186A64" w:rsidP="00BA525B">
            <w:pPr>
              <w:spacing w:before="60" w:after="0"/>
              <w:jc w:val="center"/>
              <w:rPr>
                <w:b/>
              </w:rPr>
            </w:pPr>
            <w:bookmarkStart w:id="0" w:name="_GoBack"/>
            <w:bookmarkEnd w:id="0"/>
            <w:r w:rsidRPr="00860F11">
              <w:rPr>
                <w:b/>
              </w:rPr>
              <w:t>Firma:</w:t>
            </w:r>
          </w:p>
        </w:tc>
        <w:tc>
          <w:tcPr>
            <w:tcW w:w="7452" w:type="dxa"/>
            <w:gridSpan w:val="4"/>
            <w:tcBorders>
              <w:top w:val="single" w:sz="48" w:space="0" w:color="FF0000"/>
              <w:left w:val="single" w:sz="6" w:space="0" w:color="auto"/>
              <w:right w:val="single" w:sz="6" w:space="0" w:color="auto"/>
            </w:tcBorders>
          </w:tcPr>
          <w:p w:rsidR="00860F11" w:rsidRPr="0093123F" w:rsidRDefault="00186A64" w:rsidP="0093123F">
            <w:pPr>
              <w:spacing w:before="120" w:after="0"/>
              <w:jc w:val="center"/>
              <w:rPr>
                <w:b/>
                <w:spacing w:val="60"/>
                <w:sz w:val="28"/>
                <w:szCs w:val="28"/>
              </w:rPr>
            </w:pPr>
            <w:r w:rsidRPr="0093123F">
              <w:rPr>
                <w:b/>
                <w:spacing w:val="60"/>
                <w:sz w:val="28"/>
                <w:szCs w:val="28"/>
              </w:rPr>
              <w:t>MUSTERBETRIEBSANWEISUNG</w:t>
            </w:r>
          </w:p>
          <w:p w:rsidR="00186A64" w:rsidRPr="00860F11" w:rsidRDefault="00186A64" w:rsidP="0015027C">
            <w:pPr>
              <w:spacing w:before="120" w:after="0"/>
              <w:jc w:val="center"/>
              <w:rPr>
                <w:b/>
              </w:rPr>
            </w:pPr>
            <w:r w:rsidRPr="00860F11">
              <w:rPr>
                <w:b/>
                <w:sz w:val="20"/>
              </w:rPr>
              <w:t>gemäß § 14 Gefah</w:t>
            </w:r>
            <w:r w:rsidRPr="00860F11">
              <w:rPr>
                <w:b/>
                <w:sz w:val="20"/>
              </w:rPr>
              <w:t>r</w:t>
            </w:r>
            <w:r w:rsidRPr="00860F11">
              <w:rPr>
                <w:b/>
                <w:sz w:val="20"/>
              </w:rPr>
              <w:t>stoffverordnung</w:t>
            </w:r>
            <w:bookmarkStart w:id="1" w:name="Betrieb"/>
            <w:bookmarkEnd w:id="1"/>
            <w:r w:rsidRPr="00860F11">
              <w:rPr>
                <w:b/>
                <w:sz w:val="20"/>
              </w:rPr>
              <w:t xml:space="preserve"> über den Umgang mit Gefahrstoffen für</w:t>
            </w:r>
          </w:p>
        </w:tc>
        <w:tc>
          <w:tcPr>
            <w:tcW w:w="2050" w:type="dxa"/>
            <w:gridSpan w:val="2"/>
            <w:tcBorders>
              <w:top w:val="single" w:sz="48" w:space="0" w:color="FF0000"/>
              <w:left w:val="single" w:sz="6" w:space="0" w:color="auto"/>
              <w:right w:val="single" w:sz="48" w:space="0" w:color="FF0000"/>
            </w:tcBorders>
          </w:tcPr>
          <w:p w:rsidR="00186A64" w:rsidRPr="00860F11" w:rsidRDefault="00186A64" w:rsidP="00BA525B">
            <w:pPr>
              <w:spacing w:before="60" w:after="240"/>
              <w:rPr>
                <w:szCs w:val="22"/>
              </w:rPr>
            </w:pPr>
            <w:r w:rsidRPr="00860F11">
              <w:rPr>
                <w:b/>
                <w:szCs w:val="22"/>
              </w:rPr>
              <w:t>Stand</w:t>
            </w:r>
            <w:bookmarkStart w:id="2" w:name="StandDin"/>
            <w:bookmarkEnd w:id="2"/>
            <w:r w:rsidR="00860F11" w:rsidRPr="00860F11">
              <w:rPr>
                <w:b/>
                <w:szCs w:val="22"/>
              </w:rPr>
              <w:t>:</w:t>
            </w:r>
          </w:p>
          <w:p w:rsidR="00186A64" w:rsidRPr="00860F11" w:rsidRDefault="00186A64" w:rsidP="0015027C">
            <w:pPr>
              <w:spacing w:before="0" w:after="0"/>
              <w:rPr>
                <w:b/>
              </w:rPr>
            </w:pPr>
            <w:r w:rsidRPr="00860F11">
              <w:rPr>
                <w:b/>
              </w:rPr>
              <w:t>Unterschrift</w:t>
            </w:r>
            <w:r w:rsidR="00860F11">
              <w:rPr>
                <w:b/>
              </w:rPr>
              <w:t>:</w:t>
            </w:r>
          </w:p>
        </w:tc>
      </w:tr>
      <w:tr w:rsidR="00186A64" w:rsidTr="006E42ED">
        <w:tblPrEx>
          <w:tblCellMar>
            <w:top w:w="0" w:type="dxa"/>
            <w:bottom w:w="0" w:type="dxa"/>
          </w:tblCellMar>
        </w:tblPrEx>
        <w:trPr>
          <w:cantSplit/>
        </w:trPr>
        <w:tc>
          <w:tcPr>
            <w:tcW w:w="10848" w:type="dxa"/>
            <w:gridSpan w:val="8"/>
            <w:tcBorders>
              <w:left w:val="single" w:sz="48" w:space="0" w:color="FF0000"/>
              <w:right w:val="single" w:sz="48" w:space="0" w:color="FF0000"/>
            </w:tcBorders>
          </w:tcPr>
          <w:p w:rsidR="00186A64" w:rsidRDefault="00186A64">
            <w:pPr>
              <w:pStyle w:val="TitelOhne"/>
              <w:rPr>
                <w:sz w:val="24"/>
              </w:rPr>
            </w:pPr>
            <w:r>
              <w:rPr>
                <w:sz w:val="24"/>
              </w:rPr>
              <w:t>GEFAHRSTOFFBEZEICHNUNG</w:t>
            </w:r>
          </w:p>
        </w:tc>
      </w:tr>
      <w:tr w:rsidR="00186A64" w:rsidRPr="00D22A81" w:rsidTr="006E42ED">
        <w:tblPrEx>
          <w:tblCellMar>
            <w:top w:w="0" w:type="dxa"/>
            <w:bottom w:w="0" w:type="dxa"/>
          </w:tblCellMar>
        </w:tblPrEx>
        <w:trPr>
          <w:cantSplit/>
        </w:trPr>
        <w:tc>
          <w:tcPr>
            <w:tcW w:w="10848" w:type="dxa"/>
            <w:gridSpan w:val="8"/>
            <w:tcBorders>
              <w:left w:val="single" w:sz="48" w:space="0" w:color="FF0000"/>
              <w:right w:val="single" w:sz="48" w:space="0" w:color="FF0000"/>
            </w:tcBorders>
          </w:tcPr>
          <w:p w:rsidR="00186A64" w:rsidRPr="00D22A81" w:rsidRDefault="00186A64">
            <w:pPr>
              <w:pStyle w:val="Titel"/>
              <w:rPr>
                <w:b w:val="0"/>
                <w:sz w:val="20"/>
              </w:rPr>
            </w:pPr>
            <w:bookmarkStart w:id="3" w:name="StoffBezeichnung"/>
            <w:bookmarkEnd w:id="3"/>
            <w:r w:rsidRPr="00D22A81">
              <w:t xml:space="preserve">Ethidiumbromid </w:t>
            </w:r>
            <w:r w:rsidRPr="00D22A81">
              <w:rPr>
                <w:sz w:val="20"/>
              </w:rPr>
              <w:t>(CAS-Nr.:</w:t>
            </w:r>
            <w:r w:rsidR="00860F11" w:rsidRPr="00D22A81">
              <w:rPr>
                <w:sz w:val="20"/>
              </w:rPr>
              <w:t xml:space="preserve"> </w:t>
            </w:r>
            <w:r w:rsidRPr="00D22A81">
              <w:rPr>
                <w:sz w:val="20"/>
              </w:rPr>
              <w:t>1239-45-8)</w:t>
            </w:r>
            <w:r w:rsidR="006E4CBC" w:rsidRPr="00D22A81">
              <w:rPr>
                <w:b w:val="0"/>
                <w:sz w:val="20"/>
              </w:rPr>
              <w:t xml:space="preserve"> </w:t>
            </w:r>
          </w:p>
        </w:tc>
      </w:tr>
      <w:tr w:rsidR="00186A64" w:rsidTr="006E42ED">
        <w:tblPrEx>
          <w:tblCellMar>
            <w:top w:w="0" w:type="dxa"/>
            <w:bottom w:w="0" w:type="dxa"/>
          </w:tblCellMar>
        </w:tblPrEx>
        <w:trPr>
          <w:cantSplit/>
        </w:trPr>
        <w:tc>
          <w:tcPr>
            <w:tcW w:w="10848" w:type="dxa"/>
            <w:gridSpan w:val="8"/>
            <w:tcBorders>
              <w:left w:val="single" w:sz="48" w:space="0" w:color="FF0000"/>
              <w:right w:val="single" w:sz="48" w:space="0" w:color="FF0000"/>
            </w:tcBorders>
          </w:tcPr>
          <w:p w:rsidR="00186A64" w:rsidRDefault="00186A64">
            <w:pPr>
              <w:pStyle w:val="TitelOhne"/>
            </w:pPr>
            <w:r>
              <w:rPr>
                <w:sz w:val="24"/>
              </w:rPr>
              <w:t>GEFAHREN FÜR MENSCH UND UMWELT</w:t>
            </w:r>
          </w:p>
        </w:tc>
      </w:tr>
      <w:tr w:rsidR="006E42ED" w:rsidTr="000140A7">
        <w:tblPrEx>
          <w:tblCellMar>
            <w:top w:w="0" w:type="dxa"/>
            <w:left w:w="71" w:type="dxa"/>
            <w:bottom w:w="0" w:type="dxa"/>
            <w:right w:w="71" w:type="dxa"/>
          </w:tblCellMar>
        </w:tblPrEx>
        <w:trPr>
          <w:cantSplit/>
        </w:trPr>
        <w:tc>
          <w:tcPr>
            <w:tcW w:w="1064" w:type="dxa"/>
            <w:tcBorders>
              <w:left w:val="single" w:sz="48" w:space="0" w:color="FF0000"/>
              <w:right w:val="single" w:sz="6" w:space="0" w:color="000000"/>
            </w:tcBorders>
          </w:tcPr>
          <w:p w:rsidR="006E42ED" w:rsidRDefault="00812407">
            <w:pPr>
              <w:pStyle w:val="Zeichnung"/>
            </w:pPr>
            <w:r>
              <w:rPr>
                <w:noProof/>
              </w:rPr>
              <w:drawing>
                <wp:inline distT="0" distB="0" distL="0" distR="0">
                  <wp:extent cx="581025" cy="5810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454C8A" w:rsidRDefault="00812407">
            <w:pPr>
              <w:pStyle w:val="Zeichnung"/>
            </w:pPr>
            <w:r>
              <w:rPr>
                <w:noProof/>
              </w:rPr>
              <w:drawing>
                <wp:inline distT="0" distB="0" distL="0" distR="0">
                  <wp:extent cx="581025" cy="58102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454C8A" w:rsidRDefault="00454C8A">
            <w:pPr>
              <w:pStyle w:val="Zeichnung"/>
            </w:pPr>
            <w:r>
              <w:rPr>
                <w:rFonts w:cs="Arial"/>
                <w:b/>
                <w:sz w:val="18"/>
              </w:rPr>
              <w:t>GEFAHR</w:t>
            </w:r>
          </w:p>
        </w:tc>
        <w:tc>
          <w:tcPr>
            <w:tcW w:w="8363" w:type="dxa"/>
            <w:gridSpan w:val="6"/>
            <w:tcBorders>
              <w:left w:val="single" w:sz="6" w:space="0" w:color="000000"/>
              <w:right w:val="single" w:sz="4" w:space="0" w:color="auto"/>
            </w:tcBorders>
          </w:tcPr>
          <w:p w:rsidR="00637F19" w:rsidRDefault="00454C8A" w:rsidP="00186211">
            <w:pPr>
              <w:pStyle w:val="T1"/>
              <w:spacing w:before="60"/>
              <w:rPr>
                <w:sz w:val="20"/>
              </w:rPr>
            </w:pPr>
            <w:r w:rsidRPr="00637F19">
              <w:rPr>
                <w:sz w:val="20"/>
              </w:rPr>
              <w:t>Leben</w:t>
            </w:r>
            <w:r w:rsidR="00637F19">
              <w:rPr>
                <w:sz w:val="20"/>
              </w:rPr>
              <w:t>sgefahr bei Einatmen. (H330)</w:t>
            </w:r>
          </w:p>
          <w:p w:rsidR="00637F19" w:rsidRDefault="00454C8A" w:rsidP="00637F19">
            <w:pPr>
              <w:pStyle w:val="T1"/>
              <w:rPr>
                <w:sz w:val="20"/>
              </w:rPr>
            </w:pPr>
            <w:r w:rsidRPr="00637F19">
              <w:rPr>
                <w:sz w:val="20"/>
              </w:rPr>
              <w:t>Gesundheitsschädlich bei Verschlucken. (H302)</w:t>
            </w:r>
          </w:p>
          <w:p w:rsidR="00637F19" w:rsidRDefault="00454C8A" w:rsidP="00186211">
            <w:pPr>
              <w:pStyle w:val="T1"/>
              <w:spacing w:after="60"/>
              <w:rPr>
                <w:sz w:val="20"/>
              </w:rPr>
            </w:pPr>
            <w:r w:rsidRPr="00637F19">
              <w:rPr>
                <w:sz w:val="20"/>
              </w:rPr>
              <w:t>Kann vermutlich genetische Defekte verursachen. (H341)</w:t>
            </w:r>
          </w:p>
          <w:p w:rsidR="00637F19" w:rsidRPr="001452A7" w:rsidRDefault="00637F19" w:rsidP="00186211">
            <w:pPr>
              <w:pStyle w:val="T1"/>
              <w:spacing w:after="60"/>
              <w:ind w:left="0" w:firstLine="0"/>
              <w:rPr>
                <w:sz w:val="20"/>
              </w:rPr>
            </w:pPr>
            <w:r w:rsidRPr="001452A7">
              <w:rPr>
                <w:sz w:val="20"/>
              </w:rPr>
              <w:t>Verschlucken kann zu Gesundheitsschäden führen. Das Einatmen geringer Mengen kann lebensbedrohlich sein. Reizt die Atemwege, Augen, Haut. Ethidiumbromid kann möglicherweise zu vererbbaren Schäden führen!</w:t>
            </w:r>
          </w:p>
          <w:p w:rsidR="00454C8A" w:rsidRPr="00637F19" w:rsidRDefault="00637F19" w:rsidP="00F202C7">
            <w:pPr>
              <w:pStyle w:val="BA20-Feld0"/>
              <w:spacing w:before="40" w:after="0"/>
              <w:jc w:val="left"/>
              <w:rPr>
                <w:sz w:val="18"/>
                <w:szCs w:val="18"/>
              </w:rPr>
            </w:pPr>
            <w:r w:rsidRPr="001452A7">
              <w:rPr>
                <w:sz w:val="20"/>
              </w:rPr>
              <w:t>Gefahr durch Ansammlung explosionsfähiger Atmosphäre in Bodennähe bei Erwärmung! Bildung explosionsfähiger Staub-Luft-Gemische möglich. Entzündung von Staub-Luft-Gemischen durch offene Flammen oder in Mühlen möglich. Reagiert mit starken Oxidationsmitteln unter heftiger Wärmeentwicklung.</w:t>
            </w:r>
          </w:p>
        </w:tc>
        <w:tc>
          <w:tcPr>
            <w:tcW w:w="1421" w:type="dxa"/>
            <w:tcBorders>
              <w:left w:val="single" w:sz="4" w:space="0" w:color="auto"/>
              <w:right w:val="single" w:sz="48" w:space="0" w:color="FF0000"/>
            </w:tcBorders>
          </w:tcPr>
          <w:p w:rsidR="000140A7" w:rsidRPr="000140A7" w:rsidRDefault="000140A7" w:rsidP="00186211">
            <w:pPr>
              <w:pStyle w:val="Zeichnung"/>
              <w:spacing w:before="20" w:after="0"/>
              <w:rPr>
                <w:i/>
              </w:rPr>
            </w:pPr>
            <w:r>
              <w:rPr>
                <w:i/>
              </w:rPr>
              <w:t>CLP v</w:t>
            </w:r>
            <w:r w:rsidRPr="000140A7">
              <w:rPr>
                <w:i/>
              </w:rPr>
              <w:t>ereinfacht:</w:t>
            </w:r>
          </w:p>
          <w:p w:rsidR="006E42ED" w:rsidRDefault="00812407" w:rsidP="002B0F2C">
            <w:pPr>
              <w:pStyle w:val="Zeichnung"/>
              <w:spacing w:before="0" w:after="0"/>
            </w:pPr>
            <w:r>
              <w:rPr>
                <w:noProof/>
              </w:rPr>
              <w:drawing>
                <wp:inline distT="0" distB="0" distL="0" distR="0">
                  <wp:extent cx="581025" cy="581025"/>
                  <wp:effectExtent l="0" t="0" r="9525" b="952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6E42ED" w:rsidRDefault="006E42ED" w:rsidP="002B0F2C">
            <w:pPr>
              <w:pStyle w:val="BA20-Feld0"/>
              <w:spacing w:before="0" w:after="0"/>
              <w:jc w:val="center"/>
              <w:rPr>
                <w:rFonts w:cs="Arial"/>
                <w:sz w:val="16"/>
                <w:szCs w:val="16"/>
              </w:rPr>
            </w:pPr>
            <w:bookmarkStart w:id="4" w:name="GHS02"/>
            <w:bookmarkStart w:id="5" w:name="GHS03"/>
            <w:bookmarkStart w:id="6" w:name="GHS_SIGNALWORT"/>
            <w:bookmarkEnd w:id="4"/>
            <w:bookmarkEnd w:id="5"/>
            <w:bookmarkEnd w:id="6"/>
            <w:r w:rsidRPr="006E42ED">
              <w:rPr>
                <w:rFonts w:cs="Arial"/>
                <w:sz w:val="16"/>
                <w:szCs w:val="16"/>
              </w:rPr>
              <w:t>Lebensgefahr</w:t>
            </w:r>
            <w:r w:rsidR="000140A7">
              <w:rPr>
                <w:rFonts w:cs="Arial"/>
                <w:sz w:val="16"/>
                <w:szCs w:val="16"/>
              </w:rPr>
              <w:t xml:space="preserve"> </w:t>
            </w:r>
            <w:r w:rsidRPr="006E42ED">
              <w:rPr>
                <w:rFonts w:cs="Arial"/>
                <w:sz w:val="16"/>
                <w:szCs w:val="16"/>
              </w:rPr>
              <w:t>beim Einatmen</w:t>
            </w:r>
          </w:p>
          <w:p w:rsidR="00454C8A" w:rsidRPr="00F76349" w:rsidRDefault="00812407" w:rsidP="006E4CBC">
            <w:pPr>
              <w:spacing w:before="0" w:after="0"/>
              <w:jc w:val="center"/>
              <w:rPr>
                <w:sz w:val="16"/>
                <w:szCs w:val="16"/>
              </w:rPr>
            </w:pPr>
            <w:r>
              <w:rPr>
                <w:noProof/>
              </w:rPr>
              <w:drawing>
                <wp:inline distT="0" distB="0" distL="0" distR="0">
                  <wp:extent cx="581025" cy="581025"/>
                  <wp:effectExtent l="0" t="0" r="9525"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454C8A" w:rsidRPr="006E42ED" w:rsidRDefault="00454C8A" w:rsidP="00186211">
            <w:pPr>
              <w:pStyle w:val="BA20-Feld0"/>
              <w:spacing w:before="20" w:after="20"/>
              <w:jc w:val="center"/>
              <w:rPr>
                <w:sz w:val="16"/>
                <w:szCs w:val="16"/>
              </w:rPr>
            </w:pPr>
            <w:r>
              <w:rPr>
                <w:sz w:val="16"/>
                <w:szCs w:val="16"/>
              </w:rPr>
              <w:t>CMR-Stoff Kat. 2</w:t>
            </w:r>
          </w:p>
        </w:tc>
      </w:tr>
      <w:tr w:rsidR="00186A64" w:rsidTr="006E42ED">
        <w:tblPrEx>
          <w:tblCellMar>
            <w:top w:w="0" w:type="dxa"/>
            <w:bottom w:w="0" w:type="dxa"/>
          </w:tblCellMar>
        </w:tblPrEx>
        <w:trPr>
          <w:cantSplit/>
        </w:trPr>
        <w:tc>
          <w:tcPr>
            <w:tcW w:w="10848" w:type="dxa"/>
            <w:gridSpan w:val="8"/>
            <w:tcBorders>
              <w:left w:val="single" w:sz="48" w:space="0" w:color="FF0000"/>
              <w:right w:val="single" w:sz="48" w:space="0" w:color="FF0000"/>
            </w:tcBorders>
          </w:tcPr>
          <w:p w:rsidR="00186A64" w:rsidRDefault="00186A64">
            <w:pPr>
              <w:pStyle w:val="TitelOhne"/>
              <w:rPr>
                <w:sz w:val="24"/>
              </w:rPr>
            </w:pPr>
            <w:r>
              <w:rPr>
                <w:sz w:val="24"/>
              </w:rPr>
              <w:t>SCHUTZMASSNAHMEN UND VERHALTENSREGELN</w:t>
            </w:r>
          </w:p>
        </w:tc>
      </w:tr>
      <w:tr w:rsidR="00186A64" w:rsidTr="006E42ED">
        <w:tblPrEx>
          <w:tblCellMar>
            <w:top w:w="0" w:type="dxa"/>
            <w:left w:w="71" w:type="dxa"/>
            <w:bottom w:w="0" w:type="dxa"/>
            <w:right w:w="71" w:type="dxa"/>
          </w:tblCellMar>
        </w:tblPrEx>
        <w:trPr>
          <w:cantSplit/>
        </w:trPr>
        <w:tc>
          <w:tcPr>
            <w:tcW w:w="1064" w:type="dxa"/>
            <w:tcBorders>
              <w:left w:val="single" w:sz="48" w:space="0" w:color="FF0000"/>
              <w:right w:val="single" w:sz="6" w:space="0" w:color="000000"/>
            </w:tcBorders>
          </w:tcPr>
          <w:p w:rsidR="00186A64" w:rsidRDefault="00812407">
            <w:pPr>
              <w:pStyle w:val="Zeichnung"/>
            </w:pPr>
            <w:r>
              <w:rPr>
                <w:noProof/>
              </w:rPr>
              <w:drawing>
                <wp:inline distT="0" distB="0" distL="0" distR="0">
                  <wp:extent cx="590550" cy="5905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rsidR="00186A64" w:rsidRDefault="00812407">
            <w:pPr>
              <w:pStyle w:val="Zeichnung"/>
            </w:pPr>
            <w:r>
              <w:rPr>
                <w:noProof/>
              </w:rPr>
              <w:drawing>
                <wp:inline distT="0" distB="0" distL="0" distR="0">
                  <wp:extent cx="590550" cy="5905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rsidR="00186A64" w:rsidRDefault="00186A64">
            <w:pPr>
              <w:pStyle w:val="Zeichnung"/>
            </w:pPr>
          </w:p>
        </w:tc>
        <w:tc>
          <w:tcPr>
            <w:tcW w:w="9784" w:type="dxa"/>
            <w:gridSpan w:val="7"/>
            <w:tcBorders>
              <w:left w:val="single" w:sz="6" w:space="0" w:color="000000"/>
              <w:right w:val="single" w:sz="48" w:space="0" w:color="FF0000"/>
            </w:tcBorders>
          </w:tcPr>
          <w:p w:rsidR="00186A64" w:rsidRDefault="00186A64" w:rsidP="00637F19">
            <w:pPr>
              <w:pStyle w:val="BA20-Feld0"/>
              <w:spacing w:before="40" w:after="40"/>
              <w:jc w:val="left"/>
              <w:rPr>
                <w:sz w:val="18"/>
              </w:rPr>
            </w:pPr>
            <w:r>
              <w:rPr>
                <w:sz w:val="18"/>
              </w:rPr>
              <w:t>Geschlossenen Laborkittel, festes und geschlossenes Schuhwerk sowie Schutzbrille tragen.</w:t>
            </w:r>
          </w:p>
          <w:p w:rsidR="00186A64" w:rsidRDefault="00186A64" w:rsidP="00860F11">
            <w:pPr>
              <w:pStyle w:val="BA20-Feld0"/>
              <w:spacing w:before="40" w:after="40"/>
              <w:jc w:val="left"/>
              <w:rPr>
                <w:sz w:val="18"/>
              </w:rPr>
            </w:pPr>
            <w:r>
              <w:rPr>
                <w:sz w:val="18"/>
              </w:rPr>
              <w:t>Essen, Trinken, Schnupfen und Rauchen sowie das Auftragen von Kosmetika sind bei der Arbeit verb</w:t>
            </w:r>
            <w:r>
              <w:rPr>
                <w:sz w:val="18"/>
              </w:rPr>
              <w:t>o</w:t>
            </w:r>
            <w:r>
              <w:rPr>
                <w:sz w:val="18"/>
              </w:rPr>
              <w:t>ten.</w:t>
            </w:r>
          </w:p>
          <w:p w:rsidR="00186A64" w:rsidRDefault="00186A64" w:rsidP="00860F11">
            <w:pPr>
              <w:pStyle w:val="BA20-Feld0"/>
              <w:spacing w:before="40" w:after="40"/>
              <w:jc w:val="left"/>
              <w:rPr>
                <w:sz w:val="18"/>
              </w:rPr>
            </w:pPr>
            <w:r>
              <w:rPr>
                <w:sz w:val="18"/>
              </w:rPr>
              <w:t>Alle Arbeiten mit der trockenen Substanz unter dem Laborabzug durchführen.</w:t>
            </w:r>
          </w:p>
          <w:p w:rsidR="00186A64" w:rsidRDefault="00186A64" w:rsidP="00860F11">
            <w:pPr>
              <w:pStyle w:val="BA20-Feld0"/>
              <w:spacing w:before="40" w:after="40"/>
              <w:jc w:val="left"/>
              <w:rPr>
                <w:sz w:val="18"/>
              </w:rPr>
            </w:pPr>
            <w:r>
              <w:rPr>
                <w:sz w:val="18"/>
              </w:rPr>
              <w:t>Bei möglichem Hautkontakt (z. B. bei offene</w:t>
            </w:r>
            <w:r w:rsidR="00AB420A">
              <w:rPr>
                <w:sz w:val="18"/>
              </w:rPr>
              <w:t>n</w:t>
            </w:r>
            <w:r>
              <w:rPr>
                <w:sz w:val="18"/>
              </w:rPr>
              <w:t xml:space="preserve"> </w:t>
            </w:r>
            <w:r w:rsidR="00AB420A">
              <w:rPr>
                <w:sz w:val="18"/>
              </w:rPr>
              <w:t xml:space="preserve">Tätigkeiten mit dem Gefahrstoff </w:t>
            </w:r>
            <w:r w:rsidR="007B212D">
              <w:rPr>
                <w:sz w:val="18"/>
              </w:rPr>
              <w:t xml:space="preserve">wie </w:t>
            </w:r>
            <w:r>
              <w:rPr>
                <w:sz w:val="18"/>
              </w:rPr>
              <w:t>Abwiegen oder Ansetzen von Lösu</w:t>
            </w:r>
            <w:r>
              <w:rPr>
                <w:sz w:val="18"/>
              </w:rPr>
              <w:t>n</w:t>
            </w:r>
            <w:r>
              <w:rPr>
                <w:sz w:val="18"/>
              </w:rPr>
              <w:t xml:space="preserve">gen) Schutzhandschuhe aus Nitril tragen. Schutzhandschuhe aus </w:t>
            </w:r>
            <w:r w:rsidR="001452A7">
              <w:rPr>
                <w:sz w:val="18"/>
              </w:rPr>
              <w:t>Latex</w:t>
            </w:r>
            <w:r>
              <w:rPr>
                <w:sz w:val="18"/>
              </w:rPr>
              <w:t xml:space="preserve"> sind nur als kurzzeitiger Schutz  geeignet</w:t>
            </w:r>
            <w:r w:rsidR="00860F11">
              <w:rPr>
                <w:sz w:val="18"/>
              </w:rPr>
              <w:t xml:space="preserve"> </w:t>
            </w:r>
            <w:r>
              <w:rPr>
                <w:sz w:val="18"/>
              </w:rPr>
              <w:t>(Ethid</w:t>
            </w:r>
            <w:r>
              <w:rPr>
                <w:sz w:val="18"/>
              </w:rPr>
              <w:t>i</w:t>
            </w:r>
            <w:r>
              <w:rPr>
                <w:sz w:val="18"/>
              </w:rPr>
              <w:t>umbromid diffundiert hindurch).</w:t>
            </w:r>
          </w:p>
          <w:p w:rsidR="00186A64" w:rsidRDefault="00186A64" w:rsidP="00860F11">
            <w:pPr>
              <w:pStyle w:val="BA20-Feld0"/>
              <w:spacing w:before="40" w:after="40"/>
              <w:jc w:val="left"/>
              <w:rPr>
                <w:sz w:val="18"/>
              </w:rPr>
            </w:pPr>
            <w:r>
              <w:rPr>
                <w:sz w:val="18"/>
              </w:rPr>
              <w:t>Lösungen sowie angefärbte Gele nur mit Handschuhen handhaben.</w:t>
            </w:r>
          </w:p>
          <w:p w:rsidR="00186A64" w:rsidRDefault="00186A64" w:rsidP="00860F11">
            <w:pPr>
              <w:pStyle w:val="BA20-Feld0"/>
              <w:spacing w:before="40" w:after="40"/>
              <w:jc w:val="left"/>
              <w:rPr>
                <w:sz w:val="18"/>
              </w:rPr>
            </w:pPr>
            <w:r>
              <w:rPr>
                <w:sz w:val="18"/>
              </w:rPr>
              <w:t>Möglichst gebrauchsfertige Lösungen verwenden.</w:t>
            </w:r>
          </w:p>
          <w:p w:rsidR="00186A64" w:rsidRDefault="00186A64" w:rsidP="00860F11">
            <w:pPr>
              <w:pStyle w:val="BA20-Feld0"/>
              <w:spacing w:before="40" w:after="40"/>
              <w:jc w:val="left"/>
              <w:rPr>
                <w:sz w:val="18"/>
              </w:rPr>
            </w:pPr>
            <w:r>
              <w:rPr>
                <w:sz w:val="18"/>
              </w:rPr>
              <w:t>Bei Gefährdung durch Einatmen von Aerosolen oder Feinstäuben zusätzlich Partikelfiltermaske P3 benutzen.</w:t>
            </w:r>
          </w:p>
          <w:p w:rsidR="00186A64" w:rsidRDefault="00186A64" w:rsidP="00637F19">
            <w:pPr>
              <w:pStyle w:val="BA20-Feld0"/>
              <w:spacing w:before="40" w:after="40"/>
              <w:jc w:val="left"/>
              <w:rPr>
                <w:sz w:val="18"/>
              </w:rPr>
            </w:pPr>
            <w:r>
              <w:rPr>
                <w:sz w:val="18"/>
              </w:rPr>
              <w:t xml:space="preserve">Auf größte Sauberkeit am Arbeitsplatz achten, Kontaminationen sind </w:t>
            </w:r>
            <w:r w:rsidRPr="00860F11">
              <w:rPr>
                <w:sz w:val="18"/>
              </w:rPr>
              <w:t xml:space="preserve">sofort </w:t>
            </w:r>
            <w:r>
              <w:rPr>
                <w:sz w:val="18"/>
              </w:rPr>
              <w:t>zu beseitigen.</w:t>
            </w:r>
          </w:p>
          <w:p w:rsidR="00186A64" w:rsidRDefault="00186A64" w:rsidP="00860F11">
            <w:pPr>
              <w:pStyle w:val="BA20-Feld0"/>
              <w:spacing w:before="40" w:after="40"/>
              <w:jc w:val="left"/>
              <w:rPr>
                <w:sz w:val="18"/>
              </w:rPr>
            </w:pPr>
            <w:r>
              <w:rPr>
                <w:sz w:val="18"/>
              </w:rPr>
              <w:t>Behälter dicht geschlossen halten. Im Gebrauch befindliche Mengen sollen kühl und vor Licht geschützt aufbewahrt werden (z.</w:t>
            </w:r>
            <w:r w:rsidR="00860F11">
              <w:rPr>
                <w:sz w:val="18"/>
              </w:rPr>
              <w:t xml:space="preserve"> </w:t>
            </w:r>
            <w:r>
              <w:rPr>
                <w:sz w:val="18"/>
              </w:rPr>
              <w:t xml:space="preserve">B. im Kühlschrank). Eine Lagerung hat nur unter Verschluss im Chemikalienschrank Nr. </w:t>
            </w:r>
            <w:r w:rsidR="00860F11">
              <w:rPr>
                <w:sz w:val="18"/>
              </w:rPr>
              <w:t>.</w:t>
            </w:r>
            <w:r>
              <w:rPr>
                <w:sz w:val="18"/>
              </w:rPr>
              <w:t xml:space="preserve">.... im Zimmer </w:t>
            </w:r>
            <w:r w:rsidR="00860F11">
              <w:rPr>
                <w:sz w:val="18"/>
              </w:rPr>
              <w:t>..</w:t>
            </w:r>
            <w:r>
              <w:rPr>
                <w:sz w:val="18"/>
              </w:rPr>
              <w:t>...  zu erfolgen.</w:t>
            </w:r>
          </w:p>
          <w:p w:rsidR="00186A64" w:rsidRDefault="00186A64" w:rsidP="002541A3">
            <w:pPr>
              <w:pStyle w:val="BA20-Feld0"/>
              <w:spacing w:before="40" w:after="20"/>
              <w:jc w:val="left"/>
              <w:rPr>
                <w:sz w:val="18"/>
              </w:rPr>
            </w:pPr>
            <w:r>
              <w:rPr>
                <w:sz w:val="18"/>
              </w:rPr>
              <w:t>Von Oxidationsmitteln fernhalten und vor starker Erhitzung schützen. Bei Nichtbeachtung ist die Entstehung gefährlicher Gase (NO</w:t>
            </w:r>
            <w:r w:rsidRPr="00A0180F">
              <w:rPr>
                <w:sz w:val="18"/>
                <w:vertAlign w:val="subscript"/>
              </w:rPr>
              <w:t>x</w:t>
            </w:r>
            <w:r>
              <w:rPr>
                <w:sz w:val="18"/>
              </w:rPr>
              <w:t>, Br</w:t>
            </w:r>
            <w:r w:rsidRPr="00A0180F">
              <w:rPr>
                <w:sz w:val="18"/>
                <w:vertAlign w:val="subscript"/>
              </w:rPr>
              <w:t>2</w:t>
            </w:r>
            <w:r>
              <w:rPr>
                <w:sz w:val="18"/>
              </w:rPr>
              <w:t>, HBr) möglich.</w:t>
            </w:r>
          </w:p>
        </w:tc>
      </w:tr>
      <w:tr w:rsidR="00186A64" w:rsidTr="006E42ED">
        <w:tblPrEx>
          <w:tblCellMar>
            <w:top w:w="0" w:type="dxa"/>
            <w:bottom w:w="0" w:type="dxa"/>
          </w:tblCellMar>
        </w:tblPrEx>
        <w:trPr>
          <w:cantSplit/>
        </w:trPr>
        <w:tc>
          <w:tcPr>
            <w:tcW w:w="2055" w:type="dxa"/>
            <w:gridSpan w:val="3"/>
            <w:tcBorders>
              <w:left w:val="single" w:sz="48" w:space="0" w:color="FF0000"/>
              <w:right w:val="single" w:sz="48" w:space="0" w:color="FF0000"/>
            </w:tcBorders>
          </w:tcPr>
          <w:p w:rsidR="00186A64" w:rsidRDefault="00186A64">
            <w:pPr>
              <w:pStyle w:val="TitelOhne"/>
              <w:jc w:val="left"/>
              <w:rPr>
                <w:sz w:val="24"/>
              </w:rPr>
            </w:pPr>
          </w:p>
        </w:tc>
        <w:tc>
          <w:tcPr>
            <w:tcW w:w="5813" w:type="dxa"/>
            <w:gridSpan w:val="2"/>
            <w:tcBorders>
              <w:left w:val="single" w:sz="48" w:space="0" w:color="FF0000"/>
              <w:right w:val="single" w:sz="48" w:space="0" w:color="FF0000"/>
            </w:tcBorders>
          </w:tcPr>
          <w:p w:rsidR="00186A64" w:rsidRDefault="00186A64">
            <w:pPr>
              <w:pStyle w:val="TitelOhne"/>
              <w:rPr>
                <w:b w:val="0"/>
                <w:sz w:val="24"/>
              </w:rPr>
            </w:pPr>
            <w:r>
              <w:rPr>
                <w:sz w:val="24"/>
              </w:rPr>
              <w:t>VERHALTEN IM GEFAHRFALL</w:t>
            </w:r>
          </w:p>
        </w:tc>
        <w:tc>
          <w:tcPr>
            <w:tcW w:w="2980" w:type="dxa"/>
            <w:gridSpan w:val="3"/>
            <w:tcBorders>
              <w:left w:val="single" w:sz="48" w:space="0" w:color="FF0000"/>
              <w:right w:val="single" w:sz="48" w:space="0" w:color="FF0000"/>
            </w:tcBorders>
          </w:tcPr>
          <w:p w:rsidR="00186A64" w:rsidRDefault="00186A64">
            <w:pPr>
              <w:pStyle w:val="TitelOhne"/>
              <w:shd w:val="solid" w:color="FFFFFF" w:fill="auto"/>
              <w:rPr>
                <w:b w:val="0"/>
                <w:sz w:val="24"/>
              </w:rPr>
            </w:pPr>
            <w:r>
              <w:rPr>
                <w:color w:val="000000"/>
                <w:spacing w:val="0"/>
                <w:sz w:val="24"/>
              </w:rPr>
              <w:t xml:space="preserve">Ruf </w:t>
            </w:r>
            <w:r w:rsidR="00860F11">
              <w:rPr>
                <w:color w:val="000000"/>
                <w:spacing w:val="0"/>
                <w:sz w:val="24"/>
              </w:rPr>
              <w:t>Feuerwehr: 112</w:t>
            </w:r>
          </w:p>
        </w:tc>
      </w:tr>
      <w:tr w:rsidR="00186A64" w:rsidTr="006E42ED">
        <w:tblPrEx>
          <w:tblCellMar>
            <w:top w:w="0" w:type="dxa"/>
            <w:left w:w="71" w:type="dxa"/>
            <w:bottom w:w="0" w:type="dxa"/>
            <w:right w:w="71" w:type="dxa"/>
          </w:tblCellMar>
        </w:tblPrEx>
        <w:trPr>
          <w:cantSplit/>
        </w:trPr>
        <w:tc>
          <w:tcPr>
            <w:tcW w:w="1064" w:type="dxa"/>
            <w:tcBorders>
              <w:left w:val="single" w:sz="48" w:space="0" w:color="FF0000"/>
              <w:right w:val="single" w:sz="6" w:space="0" w:color="000000"/>
            </w:tcBorders>
          </w:tcPr>
          <w:p w:rsidR="00186A64" w:rsidRDefault="00186A64">
            <w:pPr>
              <w:pStyle w:val="Zeichnung"/>
            </w:pPr>
          </w:p>
          <w:p w:rsidR="00186A64" w:rsidRDefault="00812407">
            <w:pPr>
              <w:pStyle w:val="Zeichnung"/>
            </w:pPr>
            <w:r>
              <w:rPr>
                <w:noProof/>
              </w:rPr>
              <w:drawing>
                <wp:inline distT="0" distB="0" distL="0" distR="0">
                  <wp:extent cx="590550" cy="5905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9784" w:type="dxa"/>
            <w:gridSpan w:val="7"/>
            <w:tcBorders>
              <w:left w:val="single" w:sz="6" w:space="0" w:color="000000"/>
              <w:right w:val="single" w:sz="48" w:space="0" w:color="FF0000"/>
            </w:tcBorders>
          </w:tcPr>
          <w:p w:rsidR="00186A64" w:rsidRPr="00F75943" w:rsidRDefault="00186A64" w:rsidP="00D22A81">
            <w:pPr>
              <w:pStyle w:val="BA20-Feld0"/>
              <w:spacing w:before="40" w:after="40"/>
              <w:jc w:val="left"/>
              <w:rPr>
                <w:sz w:val="18"/>
                <w:szCs w:val="18"/>
              </w:rPr>
            </w:pPr>
            <w:r w:rsidRPr="00F75943">
              <w:rPr>
                <w:sz w:val="18"/>
                <w:szCs w:val="18"/>
              </w:rPr>
              <w:t>Gefährdete Personen warnen, gefährdeten Bereich gegebenenfalls räumen und absperren. Der Zutritt Unbefugter ist zu verhindern. Kontaminationen auf Gegenstände</w:t>
            </w:r>
            <w:r w:rsidR="003460D2" w:rsidRPr="00F75943">
              <w:rPr>
                <w:sz w:val="18"/>
                <w:szCs w:val="18"/>
              </w:rPr>
              <w:t>n</w:t>
            </w:r>
            <w:r w:rsidRPr="00F75943">
              <w:rPr>
                <w:sz w:val="18"/>
                <w:szCs w:val="18"/>
              </w:rPr>
              <w:t xml:space="preserve"> oder auf der Haut lassen sich unter der UV-Handlampe (4-6 Watt) gut sichtbar machen (fluoreszieren rosa</w:t>
            </w:r>
            <w:r w:rsidR="00FA32F7" w:rsidRPr="00F75943">
              <w:rPr>
                <w:sz w:val="18"/>
                <w:szCs w:val="18"/>
              </w:rPr>
              <w:t>-</w:t>
            </w:r>
            <w:r w:rsidRPr="00F75943">
              <w:rPr>
                <w:sz w:val="18"/>
                <w:szCs w:val="18"/>
              </w:rPr>
              <w:t>ora</w:t>
            </w:r>
            <w:r w:rsidRPr="00F75943">
              <w:rPr>
                <w:sz w:val="18"/>
                <w:szCs w:val="18"/>
              </w:rPr>
              <w:t>n</w:t>
            </w:r>
            <w:r w:rsidRPr="00F75943">
              <w:rPr>
                <w:sz w:val="18"/>
                <w:szCs w:val="18"/>
              </w:rPr>
              <w:t>ge).</w:t>
            </w:r>
          </w:p>
          <w:p w:rsidR="00186A64" w:rsidRPr="00F75943" w:rsidRDefault="00186A64" w:rsidP="00860F11">
            <w:pPr>
              <w:pStyle w:val="BA20-Feld0"/>
              <w:spacing w:before="40" w:after="40"/>
              <w:jc w:val="left"/>
              <w:rPr>
                <w:sz w:val="18"/>
                <w:szCs w:val="18"/>
              </w:rPr>
            </w:pPr>
            <w:r w:rsidRPr="00F75943">
              <w:rPr>
                <w:sz w:val="18"/>
                <w:szCs w:val="18"/>
              </w:rPr>
              <w:t>Kontaminationen: Bei der Beseitigung des gefährlichen Zustandes ist auf Eigenschutz zu achten. Dabei sind minde</w:t>
            </w:r>
            <w:r w:rsidRPr="00F75943">
              <w:rPr>
                <w:sz w:val="18"/>
                <w:szCs w:val="18"/>
              </w:rPr>
              <w:t>s</w:t>
            </w:r>
            <w:r w:rsidRPr="00F75943">
              <w:rPr>
                <w:sz w:val="18"/>
                <w:szCs w:val="18"/>
              </w:rPr>
              <w:t xml:space="preserve">tens Schutzbrille, Schutzhandschuhe aus Nitril und filtrierende Halbmaske </w:t>
            </w:r>
            <w:r w:rsidR="001452A7">
              <w:rPr>
                <w:sz w:val="18"/>
                <w:szCs w:val="18"/>
              </w:rPr>
              <w:t>mit Partikelfilter</w:t>
            </w:r>
            <w:r w:rsidRPr="00F75943">
              <w:rPr>
                <w:sz w:val="18"/>
                <w:szCs w:val="18"/>
              </w:rPr>
              <w:t xml:space="preserve"> P3 zu tragen. Feste Stoffe mit wasserfeuchtem Zellstoff aufnehmen. Lösungen mit Flüssigkeitsbinder </w:t>
            </w:r>
            <w:r w:rsidR="001452A7">
              <w:rPr>
                <w:sz w:val="18"/>
                <w:szCs w:val="18"/>
              </w:rPr>
              <w:t xml:space="preserve">Kieselgur (z. B. </w:t>
            </w:r>
            <w:r w:rsidRPr="00F75943">
              <w:rPr>
                <w:sz w:val="18"/>
                <w:szCs w:val="18"/>
              </w:rPr>
              <w:t>Chemizorb</w:t>
            </w:r>
            <w:r w:rsidR="001452A7">
              <w:rPr>
                <w:sz w:val="18"/>
                <w:szCs w:val="18"/>
              </w:rPr>
              <w:t>)</w:t>
            </w:r>
            <w:r w:rsidRPr="00F75943">
              <w:rPr>
                <w:sz w:val="18"/>
                <w:szCs w:val="18"/>
              </w:rPr>
              <w:t xml:space="preserve"> aufnehmen. Verwendete Reinigung</w:t>
            </w:r>
            <w:r w:rsidRPr="00F75943">
              <w:rPr>
                <w:sz w:val="18"/>
                <w:szCs w:val="18"/>
              </w:rPr>
              <w:t>s</w:t>
            </w:r>
            <w:r w:rsidRPr="00F75943">
              <w:rPr>
                <w:sz w:val="18"/>
                <w:szCs w:val="18"/>
              </w:rPr>
              <w:t>geräte und benetzte Flächen danach mit viel Wasser spülen.</w:t>
            </w:r>
          </w:p>
          <w:p w:rsidR="00186A64" w:rsidRDefault="00186A64" w:rsidP="002541A3">
            <w:pPr>
              <w:pStyle w:val="BA20-Feld0"/>
              <w:spacing w:before="40" w:after="20"/>
              <w:jc w:val="left"/>
              <w:rPr>
                <w:sz w:val="18"/>
              </w:rPr>
            </w:pPr>
            <w:r w:rsidRPr="00F75943">
              <w:rPr>
                <w:sz w:val="18"/>
                <w:szCs w:val="18"/>
              </w:rPr>
              <w:t>Brände mit dem nächsten erreichbaren Feuerlöscher bekämpfen. Bei Personenbränden kommt hierzu auch die Notd</w:t>
            </w:r>
            <w:r w:rsidRPr="00F75943">
              <w:rPr>
                <w:sz w:val="18"/>
                <w:szCs w:val="18"/>
              </w:rPr>
              <w:t>u</w:t>
            </w:r>
            <w:r w:rsidRPr="00F75943">
              <w:rPr>
                <w:sz w:val="18"/>
                <w:szCs w:val="18"/>
              </w:rPr>
              <w:t>sche in Frage.</w:t>
            </w:r>
            <w:r w:rsidR="00F75943" w:rsidRPr="00F75943">
              <w:rPr>
                <w:sz w:val="18"/>
                <w:szCs w:val="18"/>
              </w:rPr>
              <w:t xml:space="preserve"> </w:t>
            </w:r>
            <w:r w:rsidRPr="00F75943">
              <w:rPr>
                <w:sz w:val="18"/>
                <w:szCs w:val="18"/>
              </w:rPr>
              <w:t>Bei größere</w:t>
            </w:r>
            <w:r w:rsidR="00860F11" w:rsidRPr="00F75943">
              <w:rPr>
                <w:sz w:val="18"/>
                <w:szCs w:val="18"/>
              </w:rPr>
              <w:t>n Bränden Feuerwehr alarmieren.</w:t>
            </w:r>
          </w:p>
        </w:tc>
      </w:tr>
      <w:tr w:rsidR="00186A64" w:rsidTr="006E42ED">
        <w:tblPrEx>
          <w:tblCellMar>
            <w:top w:w="0" w:type="dxa"/>
            <w:left w:w="71" w:type="dxa"/>
            <w:bottom w:w="0" w:type="dxa"/>
            <w:right w:w="71" w:type="dxa"/>
          </w:tblCellMar>
        </w:tblPrEx>
        <w:trPr>
          <w:cantSplit/>
        </w:trPr>
        <w:tc>
          <w:tcPr>
            <w:tcW w:w="3614" w:type="dxa"/>
            <w:gridSpan w:val="4"/>
            <w:tcBorders>
              <w:left w:val="single" w:sz="48" w:space="0" w:color="FF0000"/>
              <w:right w:val="single" w:sz="48" w:space="0" w:color="FF0000"/>
            </w:tcBorders>
          </w:tcPr>
          <w:p w:rsidR="00186A64" w:rsidRDefault="00186A64">
            <w:pPr>
              <w:pStyle w:val="TitelOhne"/>
              <w:rPr>
                <w:sz w:val="24"/>
              </w:rPr>
            </w:pPr>
          </w:p>
        </w:tc>
        <w:tc>
          <w:tcPr>
            <w:tcW w:w="4254" w:type="dxa"/>
            <w:tcBorders>
              <w:left w:val="single" w:sz="48" w:space="0" w:color="FF0000"/>
              <w:right w:val="single" w:sz="48" w:space="0" w:color="FF0000"/>
            </w:tcBorders>
          </w:tcPr>
          <w:p w:rsidR="00186A64" w:rsidRDefault="00186A64">
            <w:pPr>
              <w:pStyle w:val="TitelOhne"/>
              <w:rPr>
                <w:b w:val="0"/>
                <w:sz w:val="24"/>
              </w:rPr>
            </w:pPr>
            <w:r>
              <w:rPr>
                <w:sz w:val="24"/>
              </w:rPr>
              <w:t>ERSTE HILFE</w:t>
            </w:r>
          </w:p>
        </w:tc>
        <w:tc>
          <w:tcPr>
            <w:tcW w:w="2980" w:type="dxa"/>
            <w:gridSpan w:val="3"/>
            <w:tcBorders>
              <w:left w:val="single" w:sz="48" w:space="0" w:color="FF0000"/>
              <w:right w:val="single" w:sz="48" w:space="0" w:color="FF0000"/>
            </w:tcBorders>
          </w:tcPr>
          <w:p w:rsidR="00186A64" w:rsidRDefault="00860F11">
            <w:pPr>
              <w:pStyle w:val="TitelOhne"/>
              <w:shd w:val="solid" w:color="FFFFFF" w:fill="auto"/>
              <w:rPr>
                <w:b w:val="0"/>
                <w:sz w:val="24"/>
              </w:rPr>
            </w:pPr>
            <w:r>
              <w:rPr>
                <w:color w:val="000000"/>
                <w:spacing w:val="0"/>
                <w:sz w:val="24"/>
              </w:rPr>
              <w:t>Notruf:</w:t>
            </w:r>
            <w:r w:rsidR="00186A64">
              <w:rPr>
                <w:color w:val="000000"/>
                <w:spacing w:val="0"/>
                <w:sz w:val="24"/>
              </w:rPr>
              <w:t xml:space="preserve"> 112</w:t>
            </w:r>
          </w:p>
        </w:tc>
      </w:tr>
      <w:tr w:rsidR="00186A64" w:rsidTr="006E42ED">
        <w:tblPrEx>
          <w:tblCellMar>
            <w:top w:w="0" w:type="dxa"/>
            <w:left w:w="71" w:type="dxa"/>
            <w:bottom w:w="0" w:type="dxa"/>
            <w:right w:w="71" w:type="dxa"/>
          </w:tblCellMar>
        </w:tblPrEx>
        <w:trPr>
          <w:cantSplit/>
        </w:trPr>
        <w:tc>
          <w:tcPr>
            <w:tcW w:w="1064" w:type="dxa"/>
            <w:tcBorders>
              <w:left w:val="single" w:sz="48" w:space="0" w:color="FF0000"/>
              <w:right w:val="single" w:sz="6" w:space="0" w:color="000000"/>
            </w:tcBorders>
          </w:tcPr>
          <w:p w:rsidR="00186A64" w:rsidRDefault="00812407">
            <w:pPr>
              <w:tabs>
                <w:tab w:val="left" w:pos="1702"/>
              </w:tabs>
              <w:spacing w:before="60"/>
              <w:rPr>
                <w:b/>
                <w:sz w:val="24"/>
              </w:rPr>
            </w:pPr>
            <w:r>
              <w:rPr>
                <w:noProof/>
              </w:rPr>
              <w:drawing>
                <wp:inline distT="0" distB="0" distL="0" distR="0">
                  <wp:extent cx="561975" cy="561975"/>
                  <wp:effectExtent l="0" t="0" r="9525" b="9525"/>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9784" w:type="dxa"/>
            <w:gridSpan w:val="7"/>
            <w:tcBorders>
              <w:left w:val="single" w:sz="6" w:space="0" w:color="000000"/>
              <w:right w:val="single" w:sz="48" w:space="0" w:color="FF0000"/>
            </w:tcBorders>
          </w:tcPr>
          <w:p w:rsidR="00186A64" w:rsidRPr="00BA525B" w:rsidRDefault="00186A64" w:rsidP="006E4CBC">
            <w:pPr>
              <w:pStyle w:val="BA20-Feld0"/>
              <w:spacing w:before="40" w:after="40"/>
              <w:jc w:val="left"/>
              <w:rPr>
                <w:sz w:val="18"/>
                <w:szCs w:val="18"/>
              </w:rPr>
            </w:pPr>
            <w:r w:rsidRPr="00BA525B">
              <w:rPr>
                <w:sz w:val="18"/>
                <w:szCs w:val="18"/>
              </w:rPr>
              <w:t>Kontaminierte oder getränkte Kleidung (auch Unterkleidung) und Persönliche Schutzausrüstung sofort ablegen und erst nach gründlic</w:t>
            </w:r>
            <w:r w:rsidR="00860F11" w:rsidRPr="00BA525B">
              <w:rPr>
                <w:sz w:val="18"/>
                <w:szCs w:val="18"/>
              </w:rPr>
              <w:t>her Reinigung wieder verwenden.</w:t>
            </w:r>
          </w:p>
          <w:p w:rsidR="00186A64" w:rsidRPr="00BA525B" w:rsidRDefault="00186A64" w:rsidP="00860F11">
            <w:pPr>
              <w:pStyle w:val="BA20-Feld0"/>
              <w:spacing w:before="40" w:after="40"/>
              <w:jc w:val="left"/>
              <w:rPr>
                <w:sz w:val="18"/>
                <w:szCs w:val="18"/>
              </w:rPr>
            </w:pPr>
            <w:r w:rsidRPr="00BA525B">
              <w:rPr>
                <w:sz w:val="18"/>
                <w:szCs w:val="18"/>
              </w:rPr>
              <w:t>Einatmen: Betroffenen an die frische Luft bringen. Erforderlichenfalls Atemspende oder Gerätebeatmung durchführen.</w:t>
            </w:r>
          </w:p>
          <w:p w:rsidR="00186A64" w:rsidRPr="00BA525B" w:rsidRDefault="00186A64" w:rsidP="00860F11">
            <w:pPr>
              <w:pStyle w:val="BA20-Feld0"/>
              <w:spacing w:before="40" w:after="40"/>
              <w:jc w:val="left"/>
              <w:rPr>
                <w:sz w:val="18"/>
                <w:szCs w:val="18"/>
              </w:rPr>
            </w:pPr>
            <w:r w:rsidRPr="00BA525B">
              <w:rPr>
                <w:sz w:val="18"/>
                <w:szCs w:val="18"/>
              </w:rPr>
              <w:t>Haut: benetzte Haut mit viel Wasser und Rubbelcreme ..... mehrmals gründlich reinigen. Reinigungserfolg unter UV-Handlampe kontro</w:t>
            </w:r>
            <w:r w:rsidRPr="00BA525B">
              <w:rPr>
                <w:sz w:val="18"/>
                <w:szCs w:val="18"/>
              </w:rPr>
              <w:t>l</w:t>
            </w:r>
            <w:r w:rsidRPr="00BA525B">
              <w:rPr>
                <w:sz w:val="18"/>
                <w:szCs w:val="18"/>
              </w:rPr>
              <w:t>lieren (Vorsicht: Möglichkeit der Schädigung der Augen durch UV-Licht berücksichtigen).</w:t>
            </w:r>
          </w:p>
          <w:p w:rsidR="00186A64" w:rsidRPr="00BA525B" w:rsidRDefault="00186A64" w:rsidP="00860F11">
            <w:pPr>
              <w:pStyle w:val="BA20-Feld0"/>
              <w:spacing w:before="40" w:after="40"/>
              <w:jc w:val="left"/>
              <w:rPr>
                <w:sz w:val="18"/>
                <w:szCs w:val="18"/>
              </w:rPr>
            </w:pPr>
            <w:r w:rsidRPr="00BA525B">
              <w:rPr>
                <w:sz w:val="18"/>
                <w:szCs w:val="18"/>
              </w:rPr>
              <w:t>Augen: benetzte Augen sofort bei geöffnetem Lidspalt 10 Minuten mit Wasser spülen, bis ärztliche Hilfe erfolgt.</w:t>
            </w:r>
          </w:p>
          <w:p w:rsidR="00186A64" w:rsidRPr="00BA525B" w:rsidRDefault="00186A64" w:rsidP="00860F11">
            <w:pPr>
              <w:pStyle w:val="BA20-Feld0"/>
              <w:spacing w:before="40" w:after="40"/>
              <w:jc w:val="left"/>
              <w:rPr>
                <w:sz w:val="18"/>
                <w:szCs w:val="18"/>
              </w:rPr>
            </w:pPr>
            <w:r w:rsidRPr="00BA525B">
              <w:rPr>
                <w:sz w:val="18"/>
                <w:szCs w:val="18"/>
              </w:rPr>
              <w:t>Verschlucken: Viel Wasser mit Aktivkohle trinken lassen! Erbrechen auslösen! Notarzt verständigen.</w:t>
            </w:r>
          </w:p>
          <w:p w:rsidR="00186A64" w:rsidRDefault="00186A64" w:rsidP="002541A3">
            <w:pPr>
              <w:pStyle w:val="BA20-Feld0"/>
              <w:spacing w:before="40" w:after="20"/>
              <w:jc w:val="left"/>
              <w:rPr>
                <w:sz w:val="18"/>
              </w:rPr>
            </w:pPr>
            <w:r w:rsidRPr="00BA525B">
              <w:rPr>
                <w:sz w:val="18"/>
                <w:szCs w:val="18"/>
              </w:rPr>
              <w:t>Bei intensivem Kontakt Arzt konsultieren oder Notarzt alarmieren. Verletztem Sicherheitsdatenblatt, Betriebsanweisung und Unfallb</w:t>
            </w:r>
            <w:r w:rsidRPr="00BA525B">
              <w:rPr>
                <w:sz w:val="18"/>
                <w:szCs w:val="18"/>
              </w:rPr>
              <w:t>e</w:t>
            </w:r>
            <w:r w:rsidRPr="00BA525B">
              <w:rPr>
                <w:sz w:val="18"/>
                <w:szCs w:val="18"/>
              </w:rPr>
              <w:t>gleitzettel mitgeben.</w:t>
            </w:r>
          </w:p>
        </w:tc>
      </w:tr>
      <w:tr w:rsidR="00186A64" w:rsidTr="006E42ED">
        <w:tblPrEx>
          <w:tblCellMar>
            <w:top w:w="0" w:type="dxa"/>
            <w:bottom w:w="0" w:type="dxa"/>
          </w:tblCellMar>
        </w:tblPrEx>
        <w:trPr>
          <w:cantSplit/>
        </w:trPr>
        <w:tc>
          <w:tcPr>
            <w:tcW w:w="10848" w:type="dxa"/>
            <w:gridSpan w:val="8"/>
            <w:tcBorders>
              <w:left w:val="single" w:sz="48" w:space="0" w:color="FF0000"/>
              <w:right w:val="single" w:sz="48" w:space="0" w:color="FF0000"/>
            </w:tcBorders>
          </w:tcPr>
          <w:p w:rsidR="00186A64" w:rsidRDefault="00186A64">
            <w:pPr>
              <w:pStyle w:val="TitelOhne"/>
              <w:rPr>
                <w:sz w:val="24"/>
              </w:rPr>
            </w:pPr>
            <w:r>
              <w:rPr>
                <w:sz w:val="24"/>
              </w:rPr>
              <w:t>SACHGERECHTE ENTSORGUNG</w:t>
            </w:r>
          </w:p>
        </w:tc>
      </w:tr>
      <w:tr w:rsidR="00186A64" w:rsidTr="006E42ED">
        <w:tblPrEx>
          <w:tblCellMar>
            <w:top w:w="0" w:type="dxa"/>
            <w:left w:w="71" w:type="dxa"/>
            <w:bottom w:w="0" w:type="dxa"/>
            <w:right w:w="71" w:type="dxa"/>
          </w:tblCellMar>
        </w:tblPrEx>
        <w:trPr>
          <w:cantSplit/>
        </w:trPr>
        <w:tc>
          <w:tcPr>
            <w:tcW w:w="1064" w:type="dxa"/>
            <w:tcBorders>
              <w:left w:val="single" w:sz="48" w:space="0" w:color="FF0000"/>
              <w:bottom w:val="single" w:sz="48" w:space="0" w:color="FF0000"/>
              <w:right w:val="single" w:sz="6" w:space="0" w:color="000000"/>
            </w:tcBorders>
          </w:tcPr>
          <w:p w:rsidR="00186A64" w:rsidRDefault="00812407">
            <w:pPr>
              <w:ind w:left="360" w:hanging="360"/>
              <w:rPr>
                <w:sz w:val="24"/>
              </w:rPr>
            </w:pPr>
            <w:r>
              <w:rPr>
                <w:noProof/>
              </w:rPr>
              <w:drawing>
                <wp:inline distT="0" distB="0" distL="0" distR="0">
                  <wp:extent cx="571500" cy="428625"/>
                  <wp:effectExtent l="0" t="0" r="0" b="9525"/>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tc>
        <w:tc>
          <w:tcPr>
            <w:tcW w:w="9784" w:type="dxa"/>
            <w:gridSpan w:val="7"/>
            <w:tcBorders>
              <w:left w:val="single" w:sz="6" w:space="0" w:color="000000"/>
              <w:bottom w:val="single" w:sz="48" w:space="0" w:color="FF0000"/>
              <w:right w:val="single" w:sz="48" w:space="0" w:color="FF0000"/>
            </w:tcBorders>
          </w:tcPr>
          <w:p w:rsidR="00186A64" w:rsidRPr="00BA525B" w:rsidRDefault="00186A64" w:rsidP="00F75943">
            <w:pPr>
              <w:pStyle w:val="BA20-Feld0"/>
              <w:jc w:val="left"/>
              <w:rPr>
                <w:sz w:val="18"/>
                <w:szCs w:val="18"/>
              </w:rPr>
            </w:pPr>
            <w:r w:rsidRPr="00BA525B">
              <w:rPr>
                <w:sz w:val="18"/>
                <w:szCs w:val="18"/>
              </w:rPr>
              <w:t>Sämtliche Reste und kontaminierte</w:t>
            </w:r>
            <w:r w:rsidR="00DD41BE" w:rsidRPr="00BA525B">
              <w:rPr>
                <w:sz w:val="18"/>
                <w:szCs w:val="18"/>
              </w:rPr>
              <w:t>n</w:t>
            </w:r>
            <w:r w:rsidRPr="00BA525B">
              <w:rPr>
                <w:sz w:val="18"/>
                <w:szCs w:val="18"/>
              </w:rPr>
              <w:t xml:space="preserve"> Abfälle in gekennzeichneten, verschließbaren Behälter geben. Getränktes Material und nicht gereinigte Leergebinde sind wie die Inhaltsstoffe zu behandeln. Die Entsorgung erfolgt bei Bedarf, spätestens jedoch vor dem Wochenende über die Haustechnik als So</w:t>
            </w:r>
            <w:r w:rsidRPr="00BA525B">
              <w:rPr>
                <w:sz w:val="18"/>
                <w:szCs w:val="18"/>
              </w:rPr>
              <w:t>n</w:t>
            </w:r>
            <w:r w:rsidRPr="00BA525B">
              <w:rPr>
                <w:sz w:val="18"/>
                <w:szCs w:val="18"/>
              </w:rPr>
              <w:t>dermüll (Herr/Frau ....., Tel</w:t>
            </w:r>
            <w:r w:rsidR="00DD41BE" w:rsidRPr="00BA525B">
              <w:rPr>
                <w:sz w:val="18"/>
                <w:szCs w:val="18"/>
              </w:rPr>
              <w:t>:</w:t>
            </w:r>
            <w:r w:rsidRPr="00BA525B">
              <w:rPr>
                <w:sz w:val="18"/>
                <w:szCs w:val="18"/>
              </w:rPr>
              <w:t xml:space="preserve"> ..... im Bedarfsfall informieren).</w:t>
            </w:r>
          </w:p>
        </w:tc>
      </w:tr>
    </w:tbl>
    <w:p w:rsidR="00186A64" w:rsidRDefault="00186A64" w:rsidP="00BA525B">
      <w:pPr>
        <w:spacing w:before="0" w:after="0"/>
      </w:pPr>
    </w:p>
    <w:sectPr w:rsidR="00186A64" w:rsidSect="00F202C7">
      <w:pgSz w:w="11907" w:h="16840"/>
      <w:pgMar w:top="567" w:right="397" w:bottom="567" w:left="567"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20BF2"/>
    <w:multiLevelType w:val="singleLevel"/>
    <w:tmpl w:val="C5DAB0F2"/>
    <w:lvl w:ilvl="0">
      <w:numFmt w:val="bullet"/>
      <w:lvlText w:val="-"/>
      <w:lvlJc w:val="left"/>
      <w:pPr>
        <w:tabs>
          <w:tab w:val="num" w:pos="360"/>
        </w:tabs>
        <w:ind w:left="360" w:hanging="360"/>
      </w:pPr>
      <w:rPr>
        <w:rFonts w:ascii="Times New Roman" w:hAnsi="Times New Roman" w:hint="default"/>
      </w:rPr>
    </w:lvl>
  </w:abstractNum>
  <w:abstractNum w:abstractNumId="1">
    <w:nsid w:val="4C3D174D"/>
    <w:multiLevelType w:val="singleLevel"/>
    <w:tmpl w:val="14DA3B12"/>
    <w:lvl w:ilvl="0">
      <w:numFmt w:val="bullet"/>
      <w:lvlText w:val="-"/>
      <w:lvlJc w:val="left"/>
      <w:pPr>
        <w:tabs>
          <w:tab w:val="num" w:pos="360"/>
        </w:tabs>
        <w:ind w:left="360" w:hanging="360"/>
      </w:pPr>
      <w:rPr>
        <w:rFonts w:ascii="Times New Roman" w:hAnsi="Times New Roman" w:hint="default"/>
      </w:rPr>
    </w:lvl>
  </w:abstractNum>
  <w:abstractNum w:abstractNumId="2">
    <w:nsid w:val="6C386B3D"/>
    <w:multiLevelType w:val="singleLevel"/>
    <w:tmpl w:val="9BBC061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04"/>
    <w:rsid w:val="000140A7"/>
    <w:rsid w:val="000A0D7F"/>
    <w:rsid w:val="001452A7"/>
    <w:rsid w:val="0015027C"/>
    <w:rsid w:val="00184F65"/>
    <w:rsid w:val="00186211"/>
    <w:rsid w:val="00186A64"/>
    <w:rsid w:val="002333AD"/>
    <w:rsid w:val="002541A3"/>
    <w:rsid w:val="002670A6"/>
    <w:rsid w:val="0029078F"/>
    <w:rsid w:val="002B0F2C"/>
    <w:rsid w:val="003460D2"/>
    <w:rsid w:val="00454C8A"/>
    <w:rsid w:val="005A247F"/>
    <w:rsid w:val="00637F19"/>
    <w:rsid w:val="006E42ED"/>
    <w:rsid w:val="006E4CBC"/>
    <w:rsid w:val="007B212D"/>
    <w:rsid w:val="00812407"/>
    <w:rsid w:val="00860F11"/>
    <w:rsid w:val="008D3EEA"/>
    <w:rsid w:val="008E3D12"/>
    <w:rsid w:val="0093123F"/>
    <w:rsid w:val="00A0180F"/>
    <w:rsid w:val="00A24A08"/>
    <w:rsid w:val="00AB420A"/>
    <w:rsid w:val="00BA525B"/>
    <w:rsid w:val="00C041A6"/>
    <w:rsid w:val="00CE1202"/>
    <w:rsid w:val="00D22A81"/>
    <w:rsid w:val="00DB6304"/>
    <w:rsid w:val="00DD41BE"/>
    <w:rsid w:val="00F202C7"/>
    <w:rsid w:val="00F75943"/>
    <w:rsid w:val="00FA32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before="72" w:after="72"/>
    </w:pPr>
    <w:rPr>
      <w:rFonts w:ascii="Arial" w:hAnsi="Arial"/>
      <w:sz w:val="22"/>
    </w:rPr>
  </w:style>
  <w:style w:type="paragraph" w:styleId="berschrift1">
    <w:name w:val="heading 1"/>
    <w:basedOn w:val="Standard"/>
    <w:next w:val="Standard"/>
    <w:qFormat/>
    <w:pPr>
      <w:keepNext/>
      <w:spacing w:before="0" w:after="0"/>
      <w:jc w:val="center"/>
      <w:outlineLvl w:val="0"/>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Zeichnung">
    <w:name w:val="Zeichnung"/>
    <w:basedOn w:val="Standard"/>
    <w:pPr>
      <w:spacing w:before="48" w:after="48"/>
      <w:jc w:val="center"/>
    </w:pPr>
    <w:rPr>
      <w:sz w:val="16"/>
    </w:rPr>
  </w:style>
  <w:style w:type="paragraph" w:customStyle="1" w:styleId="TitelOhne">
    <w:name w:val="TitelOhne"/>
    <w:basedOn w:val="Standard"/>
    <w:pPr>
      <w:pBdr>
        <w:top w:val="single" w:sz="12" w:space="1" w:color="FF0000"/>
        <w:left w:val="single" w:sz="12" w:space="1" w:color="FF0000"/>
        <w:bottom w:val="single" w:sz="12" w:space="1" w:color="FF0000"/>
        <w:right w:val="single" w:sz="12" w:space="1" w:color="FF0000"/>
      </w:pBdr>
      <w:shd w:val="solid" w:color="FF0000" w:fill="auto"/>
      <w:spacing w:before="0" w:after="0"/>
      <w:jc w:val="center"/>
    </w:pPr>
    <w:rPr>
      <w:b/>
      <w:color w:val="FFFFFF"/>
      <w:spacing w:val="60"/>
      <w:sz w:val="28"/>
    </w:rPr>
  </w:style>
  <w:style w:type="paragraph" w:styleId="Titel">
    <w:name w:val="Title"/>
    <w:basedOn w:val="Standard"/>
    <w:qFormat/>
    <w:pPr>
      <w:spacing w:before="48" w:after="48"/>
      <w:jc w:val="center"/>
    </w:pPr>
    <w:rPr>
      <w:b/>
      <w:sz w:val="26"/>
    </w:rPr>
  </w:style>
  <w:style w:type="paragraph" w:styleId="Sprechblasentext">
    <w:name w:val="Balloon Text"/>
    <w:basedOn w:val="Standard"/>
    <w:semiHidden/>
    <w:rsid w:val="002670A6"/>
    <w:rPr>
      <w:rFonts w:ascii="Tahoma" w:hAnsi="Tahoma" w:cs="Tahoma"/>
      <w:sz w:val="16"/>
      <w:szCs w:val="16"/>
    </w:rPr>
  </w:style>
  <w:style w:type="paragraph" w:customStyle="1" w:styleId="BA20-Feld0">
    <w:name w:val="BA20-Feld0"/>
    <w:basedOn w:val="Zeichnung"/>
    <w:pPr>
      <w:jc w:val="both"/>
    </w:pPr>
    <w:rPr>
      <w:sz w:val="24"/>
    </w:rPr>
  </w:style>
  <w:style w:type="paragraph" w:styleId="Kopfzeile">
    <w:name w:val="header"/>
    <w:basedOn w:val="Standard"/>
    <w:rsid w:val="006E42ED"/>
    <w:pPr>
      <w:tabs>
        <w:tab w:val="center" w:pos="4536"/>
        <w:tab w:val="right" w:pos="9072"/>
      </w:tabs>
    </w:pPr>
    <w:rPr>
      <w:rFonts w:eastAsia="Arial"/>
    </w:rPr>
  </w:style>
  <w:style w:type="paragraph" w:customStyle="1" w:styleId="T1">
    <w:name w:val="T1"/>
    <w:basedOn w:val="Standard"/>
    <w:rsid w:val="00637F19"/>
    <w:pPr>
      <w:spacing w:before="0" w:after="0"/>
      <w:ind w:left="142" w:hanging="142"/>
    </w:pPr>
    <w:rPr>
      <w:rFonts w:eastAsia="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before="72" w:after="72"/>
    </w:pPr>
    <w:rPr>
      <w:rFonts w:ascii="Arial" w:hAnsi="Arial"/>
      <w:sz w:val="22"/>
    </w:rPr>
  </w:style>
  <w:style w:type="paragraph" w:styleId="berschrift1">
    <w:name w:val="heading 1"/>
    <w:basedOn w:val="Standard"/>
    <w:next w:val="Standard"/>
    <w:qFormat/>
    <w:pPr>
      <w:keepNext/>
      <w:spacing w:before="0" w:after="0"/>
      <w:jc w:val="center"/>
      <w:outlineLvl w:val="0"/>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Zeichnung">
    <w:name w:val="Zeichnung"/>
    <w:basedOn w:val="Standard"/>
    <w:pPr>
      <w:spacing w:before="48" w:after="48"/>
      <w:jc w:val="center"/>
    </w:pPr>
    <w:rPr>
      <w:sz w:val="16"/>
    </w:rPr>
  </w:style>
  <w:style w:type="paragraph" w:customStyle="1" w:styleId="TitelOhne">
    <w:name w:val="TitelOhne"/>
    <w:basedOn w:val="Standard"/>
    <w:pPr>
      <w:pBdr>
        <w:top w:val="single" w:sz="12" w:space="1" w:color="FF0000"/>
        <w:left w:val="single" w:sz="12" w:space="1" w:color="FF0000"/>
        <w:bottom w:val="single" w:sz="12" w:space="1" w:color="FF0000"/>
        <w:right w:val="single" w:sz="12" w:space="1" w:color="FF0000"/>
      </w:pBdr>
      <w:shd w:val="solid" w:color="FF0000" w:fill="auto"/>
      <w:spacing w:before="0" w:after="0"/>
      <w:jc w:val="center"/>
    </w:pPr>
    <w:rPr>
      <w:b/>
      <w:color w:val="FFFFFF"/>
      <w:spacing w:val="60"/>
      <w:sz w:val="28"/>
    </w:rPr>
  </w:style>
  <w:style w:type="paragraph" w:styleId="Titel">
    <w:name w:val="Title"/>
    <w:basedOn w:val="Standard"/>
    <w:qFormat/>
    <w:pPr>
      <w:spacing w:before="48" w:after="48"/>
      <w:jc w:val="center"/>
    </w:pPr>
    <w:rPr>
      <w:b/>
      <w:sz w:val="26"/>
    </w:rPr>
  </w:style>
  <w:style w:type="paragraph" w:styleId="Sprechblasentext">
    <w:name w:val="Balloon Text"/>
    <w:basedOn w:val="Standard"/>
    <w:semiHidden/>
    <w:rsid w:val="002670A6"/>
    <w:rPr>
      <w:rFonts w:ascii="Tahoma" w:hAnsi="Tahoma" w:cs="Tahoma"/>
      <w:sz w:val="16"/>
      <w:szCs w:val="16"/>
    </w:rPr>
  </w:style>
  <w:style w:type="paragraph" w:customStyle="1" w:styleId="BA20-Feld0">
    <w:name w:val="BA20-Feld0"/>
    <w:basedOn w:val="Zeichnung"/>
    <w:pPr>
      <w:jc w:val="both"/>
    </w:pPr>
    <w:rPr>
      <w:sz w:val="24"/>
    </w:rPr>
  </w:style>
  <w:style w:type="paragraph" w:styleId="Kopfzeile">
    <w:name w:val="header"/>
    <w:basedOn w:val="Standard"/>
    <w:rsid w:val="006E42ED"/>
    <w:pPr>
      <w:tabs>
        <w:tab w:val="center" w:pos="4536"/>
        <w:tab w:val="right" w:pos="9072"/>
      </w:tabs>
    </w:pPr>
    <w:rPr>
      <w:rFonts w:eastAsia="Arial"/>
    </w:rPr>
  </w:style>
  <w:style w:type="paragraph" w:customStyle="1" w:styleId="T1">
    <w:name w:val="T1"/>
    <w:basedOn w:val="Standard"/>
    <w:rsid w:val="00637F19"/>
    <w:pPr>
      <w:spacing w:before="0" w:after="0"/>
      <w:ind w:left="142" w:hanging="142"/>
    </w:pPr>
    <w:rPr>
      <w:rFonts w:eastAsia="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wmf"/><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A_BA_GE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A_BA_GEF.DOT</Template>
  <TotalTime>0</TotalTime>
  <Pages>1</Pages>
  <Words>517</Words>
  <Characters>3860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BG Chemie</vt:lpstr>
    </vt:vector>
  </TitlesOfParts>
  <Company>BG Chemie / TAD Heidelberg</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RCI</dc:title>
  <dc:creator>Dr. Glück</dc:creator>
  <cp:lastModifiedBy>Technik und Medien GmbH</cp:lastModifiedBy>
  <cp:revision>2</cp:revision>
  <cp:lastPrinted>2011-03-08T07:40:00Z</cp:lastPrinted>
  <dcterms:created xsi:type="dcterms:W3CDTF">2019-07-16T08:48:00Z</dcterms:created>
  <dcterms:modified xsi:type="dcterms:W3CDTF">2019-07-16T08:48:00Z</dcterms:modified>
</cp:coreProperties>
</file>